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51" w:rsidRDefault="006374FF" w:rsidP="00E273D4">
      <w:pPr>
        <w:pStyle w:val="berschrift1"/>
      </w:pPr>
      <w:r w:rsidRPr="009E7824">
        <w:rPr>
          <w:rFonts w:cs="Arial"/>
          <w:noProof/>
          <w:szCs w:val="20"/>
          <w:lang w:eastAsia="de-DE"/>
        </w:rPr>
        <mc:AlternateContent>
          <mc:Choice Requires="wps">
            <w:drawing>
              <wp:anchor distT="0" distB="0" distL="114300" distR="114300" simplePos="0" relativeHeight="251659264" behindDoc="0" locked="0" layoutInCell="1" allowOverlap="1" wp14:anchorId="087B597F" wp14:editId="7F25151B">
                <wp:simplePos x="0" y="0"/>
                <wp:positionH relativeFrom="column">
                  <wp:posOffset>8969375</wp:posOffset>
                </wp:positionH>
                <wp:positionV relativeFrom="paragraph">
                  <wp:posOffset>577850</wp:posOffset>
                </wp:positionV>
                <wp:extent cx="2241779" cy="307659"/>
                <wp:effectExtent l="0" t="571500" r="0" b="5689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79352">
                          <a:off x="0" y="0"/>
                          <a:ext cx="2241779" cy="307659"/>
                        </a:xfrm>
                        <a:prstGeom prst="rect">
                          <a:avLst/>
                        </a:prstGeom>
                        <a:noFill/>
                        <a:ln w="9525">
                          <a:solidFill>
                            <a:srgbClr val="F29400"/>
                          </a:solidFill>
                          <a:miter lim="800000"/>
                          <a:headEnd/>
                          <a:tailEnd/>
                        </a:ln>
                        <a:scene3d>
                          <a:camera prst="orthographicFront">
                            <a:rot lat="0" lon="0" rev="0"/>
                          </a:camera>
                          <a:lightRig rig="threePt" dir="t"/>
                        </a:scene3d>
                      </wps:spPr>
                      <wps:txbx>
                        <w:txbxContent>
                          <w:p w:rsidR="00DD2C2E" w:rsidRPr="009E7824" w:rsidRDefault="00DD2C2E" w:rsidP="006374FF">
                            <w:pPr>
                              <w:spacing w:line="336" w:lineRule="exact"/>
                              <w:rPr>
                                <w:color w:val="FFC000"/>
                                <w:sz w:val="32"/>
                                <w:szCs w:val="32"/>
                              </w:rPr>
                            </w:pPr>
                            <w:r w:rsidRPr="009E7824">
                              <w:rPr>
                                <w:color w:val="F29400"/>
                                <w:sz w:val="32"/>
                                <w:szCs w:val="32"/>
                              </w:rPr>
                              <w:t>Sperrfrist bis: tt.mm.jjjj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B597F" id="_x0000_t202" coordsize="21600,21600" o:spt="202" path="m,l,21600r21600,l21600,xe">
                <v:stroke joinstyle="miter"/>
                <v:path gradientshapeok="t" o:connecttype="rect"/>
              </v:shapetype>
              <v:shape id="Textfeld 2" o:spid="_x0000_s1026" type="#_x0000_t202" style="position:absolute;margin-left:706.25pt;margin-top:45.5pt;width:176.5pt;height:24.25pt;rotation:-18794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" filled="f" strokecolor="#f29400">
                <v:textbox>
                  <w:txbxContent>
                    <w:p w:rsidR="00DD2C2E" w:rsidRPr="009E7824" w:rsidRDefault="00DD2C2E" w:rsidP="006374FF">
                      <w:pPr>
                        <w:spacing w:line="336" w:lineRule="exact"/>
                        <w:rPr>
                          <w:color w:val="FFC000"/>
                          <w:sz w:val="32"/>
                          <w:szCs w:val="32"/>
                        </w:rPr>
                      </w:pPr>
                      <w:r w:rsidRPr="009E7824">
                        <w:rPr>
                          <w:color w:val="F29400"/>
                          <w:sz w:val="32"/>
                          <w:szCs w:val="32"/>
                        </w:rPr>
                        <w:t>Sperrfrist bis: tt.mm.jjjj</w:t>
                      </w:r>
                    </w:p>
                  </w:txbxContent>
                </v:textbox>
              </v:shape>
            </w:pict>
          </mc:Fallback>
        </mc:AlternateContent>
      </w:r>
      <w:r w:rsidR="003B68BC" w:rsidRPr="00BD47D6">
        <w:t>SICK</w:t>
      </w:r>
      <w:r w:rsidR="003B68BC" w:rsidRPr="003B68BC">
        <w:t xml:space="preserve"> </w:t>
      </w:r>
      <w:r w:rsidR="006A5B48">
        <w:t xml:space="preserve">investiert in </w:t>
      </w:r>
      <w:r w:rsidR="00DB4CFA">
        <w:t>digitale</w:t>
      </w:r>
      <w:r w:rsidR="006A5B48">
        <w:t xml:space="preserve"> Zukunft</w:t>
      </w:r>
    </w:p>
    <w:p w:rsidR="00917481" w:rsidRPr="004E2CDA" w:rsidRDefault="001C17AE" w:rsidP="004E2CDA">
      <w:pPr>
        <w:pStyle w:val="Untertitel"/>
      </w:pPr>
      <w:r w:rsidRPr="00BD47D6">
        <w:t>Rekord</w:t>
      </w:r>
      <w:r w:rsidR="0041708B" w:rsidRPr="00BD47D6">
        <w:t>werte</w:t>
      </w:r>
      <w:r w:rsidR="00917481">
        <w:t xml:space="preserve"> </w:t>
      </w:r>
      <w:r w:rsidR="006A5B48">
        <w:t xml:space="preserve">bei Auftragseingang, Umsatz </w:t>
      </w:r>
      <w:r w:rsidR="00562AA8">
        <w:t xml:space="preserve">sowie </w:t>
      </w:r>
      <w:r w:rsidR="001573A1">
        <w:t xml:space="preserve">bei </w:t>
      </w:r>
      <w:r w:rsidR="00562AA8">
        <w:t>F&amp;E-</w:t>
      </w:r>
      <w:r w:rsidR="00562AA8" w:rsidRPr="004E2CDA">
        <w:t>Aufwendungen</w:t>
      </w:r>
    </w:p>
    <w:p w:rsidR="00D73797" w:rsidRDefault="00D73797" w:rsidP="00D73797"/>
    <w:p w:rsidR="00D73797" w:rsidRDefault="00D73797" w:rsidP="00D73797"/>
    <w:p w:rsidR="009A3165" w:rsidRDefault="003B68BC" w:rsidP="00DC7BCB">
      <w:pPr>
        <w:pStyle w:val="Lead"/>
      </w:pPr>
      <w:r w:rsidRPr="003B68BC">
        <w:t>Waldkirch</w:t>
      </w:r>
      <w:r w:rsidR="001F206C">
        <w:t>, 19</w:t>
      </w:r>
      <w:r w:rsidR="000A78E5">
        <w:t>. April 201</w:t>
      </w:r>
      <w:r w:rsidR="00C86D5B">
        <w:t>8</w:t>
      </w:r>
      <w:bookmarkStart w:id="0" w:name="_GoBack"/>
      <w:bookmarkEnd w:id="0"/>
      <w:r w:rsidRPr="003B68BC">
        <w:t xml:space="preserve"> – </w:t>
      </w:r>
      <w:r w:rsidR="006A5B48">
        <w:t>Im Geschäftsjahr 2017 standen für den SICK-Konzern erneut alle Zeichen auf Wachstum. Der Auftragseingang übertraf den Vorjahreswert um 10,3 Prozent, der Umsatz um 11,0 Prozent. Angesichts enormer Investition</w:t>
      </w:r>
      <w:r w:rsidR="00B2255C">
        <w:t>en in das Bestandsgeschäft und in</w:t>
      </w:r>
      <w:r w:rsidR="006A5B48">
        <w:t xml:space="preserve"> neue Gesc</w:t>
      </w:r>
      <w:r w:rsidR="001F206C">
        <w:t xml:space="preserve">häftsmodelle für Industrie 4.0 </w:t>
      </w:r>
      <w:r w:rsidR="006A5B48">
        <w:t>stieg das Ergebnis vor Zinsen und Steuern (EBIT) um 0,6 Prozent. Die Anzahl der Beschäftigten weltweit wuchs um 9,5 Prozent.</w:t>
      </w:r>
      <w:r w:rsidR="0041708B">
        <w:t xml:space="preserve"> </w:t>
      </w:r>
    </w:p>
    <w:p w:rsidR="0012281F" w:rsidRDefault="009858F6" w:rsidP="009214AF">
      <w:pPr>
        <w:rPr>
          <w:rFonts w:cs="Arial"/>
          <w:szCs w:val="20"/>
        </w:rPr>
      </w:pPr>
      <w:r>
        <w:rPr>
          <w:rFonts w:cs="Arial"/>
          <w:szCs w:val="20"/>
        </w:rPr>
        <w:t xml:space="preserve">Ursächlich für die anhaltend gute Entwicklung während des gesamten Jahresverlaufs waren die anziehende Nachfrage im Einklang mit dem Wachstum der Weltwirtschaft sowie die Einführung neuer Produkte und Systemlösungen. Der Auftragseingang betrug zum Bilanzstichtag 1.542,8 Mio. Euro. Dies bedeutet ein Plus von 10,3 Prozent gegenüber 2016. </w:t>
      </w:r>
      <w:r w:rsidR="002661BA" w:rsidRPr="00BD47D6">
        <w:rPr>
          <w:rFonts w:cs="Arial"/>
          <w:szCs w:val="20"/>
        </w:rPr>
        <w:t>Der</w:t>
      </w:r>
      <w:r w:rsidR="002661BA" w:rsidRPr="00390B37">
        <w:rPr>
          <w:rFonts w:cs="Arial"/>
          <w:szCs w:val="20"/>
        </w:rPr>
        <w:t xml:space="preserve"> </w:t>
      </w:r>
      <w:r w:rsidR="002661BA" w:rsidRPr="00BD47D6">
        <w:rPr>
          <w:rFonts w:cs="Arial"/>
          <w:szCs w:val="20"/>
        </w:rPr>
        <w:t>Umsatz</w:t>
      </w:r>
      <w:r w:rsidR="002661BA" w:rsidRPr="00390B37">
        <w:rPr>
          <w:rFonts w:cs="Arial"/>
          <w:szCs w:val="20"/>
        </w:rPr>
        <w:t xml:space="preserve"> </w:t>
      </w:r>
      <w:r w:rsidR="00D41993">
        <w:rPr>
          <w:rFonts w:cs="Arial"/>
          <w:szCs w:val="20"/>
        </w:rPr>
        <w:t xml:space="preserve">erhöhte sich </w:t>
      </w:r>
      <w:r w:rsidR="002661BA" w:rsidRPr="00390B37">
        <w:rPr>
          <w:rFonts w:cs="Arial"/>
          <w:szCs w:val="20"/>
        </w:rPr>
        <w:t xml:space="preserve">um </w:t>
      </w:r>
      <w:r>
        <w:rPr>
          <w:rFonts w:cs="Arial"/>
          <w:szCs w:val="20"/>
        </w:rPr>
        <w:t>11,0</w:t>
      </w:r>
      <w:r w:rsidR="002661BA" w:rsidRPr="00390B37">
        <w:rPr>
          <w:rFonts w:cs="Arial"/>
          <w:szCs w:val="20"/>
        </w:rPr>
        <w:t xml:space="preserve"> Prozent auf </w:t>
      </w:r>
      <w:r w:rsidR="002661BA" w:rsidRPr="00390B37">
        <w:rPr>
          <w:rFonts w:cs="Arial"/>
        </w:rPr>
        <w:t>1.</w:t>
      </w:r>
      <w:r>
        <w:rPr>
          <w:rFonts w:cs="Arial"/>
        </w:rPr>
        <w:t>511,6</w:t>
      </w:r>
      <w:r w:rsidR="002661BA" w:rsidRPr="00390B37">
        <w:rPr>
          <w:rFonts w:cs="Arial"/>
        </w:rPr>
        <w:t xml:space="preserve"> </w:t>
      </w:r>
      <w:r w:rsidR="002661BA" w:rsidRPr="00BD47D6">
        <w:rPr>
          <w:rFonts w:cs="Arial"/>
        </w:rPr>
        <w:t>Mio. Euro</w:t>
      </w:r>
      <w:r w:rsidR="002661BA" w:rsidRPr="00390B37">
        <w:rPr>
          <w:rFonts w:cs="Arial"/>
        </w:rPr>
        <w:t xml:space="preserve">. </w:t>
      </w:r>
      <w:r>
        <w:rPr>
          <w:rFonts w:cs="Arial"/>
          <w:szCs w:val="20"/>
        </w:rPr>
        <w:t>Beides sind Rekordwerte</w:t>
      </w:r>
      <w:r w:rsidR="002661BA" w:rsidRPr="00390B37">
        <w:rPr>
          <w:rFonts w:cs="Arial"/>
          <w:szCs w:val="20"/>
        </w:rPr>
        <w:t>.</w:t>
      </w:r>
      <w:r w:rsidR="002D6E57" w:rsidRPr="00390B37">
        <w:rPr>
          <w:rFonts w:cs="Arial"/>
          <w:szCs w:val="20"/>
        </w:rPr>
        <w:t xml:space="preserve"> </w:t>
      </w:r>
      <w:r w:rsidR="00390B37">
        <w:rPr>
          <w:rFonts w:cs="Arial"/>
          <w:szCs w:val="20"/>
        </w:rPr>
        <w:t>„</w:t>
      </w:r>
      <w:r>
        <w:rPr>
          <w:rFonts w:cs="Arial"/>
          <w:szCs w:val="20"/>
        </w:rPr>
        <w:t xml:space="preserve">Unser Wachstum stand dank unserer soliden weltweiten Wettbewerbsposition auch im Geschäftsjahr 2017 auf einem breiten Fundament. Neben der Präsenz in den etablierten Märkten trugen </w:t>
      </w:r>
      <w:r w:rsidR="00CC1431">
        <w:rPr>
          <w:rFonts w:cs="Arial"/>
          <w:szCs w:val="20"/>
        </w:rPr>
        <w:t xml:space="preserve">im Wesentlichen </w:t>
      </w:r>
      <w:r>
        <w:rPr>
          <w:rFonts w:cs="Arial"/>
          <w:szCs w:val="20"/>
        </w:rPr>
        <w:t>die Vertriebsaktivitäten in den Wachstumsregionen dieser Welt zum Umsatzanstieg bei</w:t>
      </w:r>
      <w:r w:rsidR="001F206C">
        <w:rPr>
          <w:rFonts w:cs="Arial"/>
          <w:szCs w:val="20"/>
        </w:rPr>
        <w:t>“,</w:t>
      </w:r>
      <w:r w:rsidR="009214AF">
        <w:rPr>
          <w:rFonts w:cs="Arial"/>
          <w:szCs w:val="20"/>
        </w:rPr>
        <w:t xml:space="preserve"> erklärte Markus Vatter, </w:t>
      </w:r>
      <w:r w:rsidR="009214AF" w:rsidRPr="00BD47D6">
        <w:rPr>
          <w:rFonts w:cs="Arial"/>
          <w:szCs w:val="20"/>
        </w:rPr>
        <w:t>Vorstand</w:t>
      </w:r>
      <w:r w:rsidR="009214AF">
        <w:rPr>
          <w:rFonts w:cs="Arial"/>
          <w:szCs w:val="20"/>
        </w:rPr>
        <w:t xml:space="preserve"> für Finanzen, </w:t>
      </w:r>
      <w:r w:rsidR="009214AF" w:rsidRPr="00BD47D6">
        <w:rPr>
          <w:rFonts w:cs="Arial"/>
          <w:szCs w:val="20"/>
        </w:rPr>
        <w:t>Controlling &amp; IT</w:t>
      </w:r>
      <w:r w:rsidR="009214AF">
        <w:rPr>
          <w:rFonts w:cs="Arial"/>
          <w:szCs w:val="20"/>
        </w:rPr>
        <w:t xml:space="preserve">, </w:t>
      </w:r>
      <w:r w:rsidR="009214AF" w:rsidRPr="00BD47D6">
        <w:rPr>
          <w:rFonts w:cs="Arial"/>
          <w:szCs w:val="20"/>
        </w:rPr>
        <w:t>SICK</w:t>
      </w:r>
      <w:r w:rsidR="009214AF">
        <w:rPr>
          <w:rFonts w:cs="Arial"/>
          <w:szCs w:val="20"/>
        </w:rPr>
        <w:t xml:space="preserve"> AG, bei der Veröffentlichung der </w:t>
      </w:r>
      <w:r w:rsidR="009214AF" w:rsidRPr="00BD47D6">
        <w:rPr>
          <w:rFonts w:cs="Arial"/>
          <w:szCs w:val="20"/>
        </w:rPr>
        <w:t>Bilanzkennzahlen</w:t>
      </w:r>
      <w:r w:rsidR="009214AF">
        <w:rPr>
          <w:rFonts w:cs="Arial"/>
          <w:szCs w:val="20"/>
        </w:rPr>
        <w:t>. „</w:t>
      </w:r>
      <w:r w:rsidR="0012281F">
        <w:rPr>
          <w:rFonts w:cs="Arial"/>
          <w:szCs w:val="20"/>
        </w:rPr>
        <w:t xml:space="preserve">Damit haben wir unsere Prognose für 2017, die ein Umsatzwachstum im mittleren bis oberen einstelligen Prozentbereich angekündigt hatte, klar übertroffen – und das trotz erheblicher negativer Währungseffekte.“ </w:t>
      </w:r>
    </w:p>
    <w:p w:rsidR="0067569F" w:rsidRDefault="0067569F" w:rsidP="009214AF">
      <w:pPr>
        <w:rPr>
          <w:rFonts w:cs="Arial"/>
          <w:szCs w:val="20"/>
        </w:rPr>
      </w:pPr>
    </w:p>
    <w:p w:rsidR="0067569F" w:rsidRPr="00477769" w:rsidRDefault="0067569F" w:rsidP="0067569F">
      <w:pPr>
        <w:pStyle w:val="berschrift2"/>
      </w:pPr>
      <w:r w:rsidRPr="00BD47D6">
        <w:t>Umsatzwachstum</w:t>
      </w:r>
      <w:r w:rsidR="00474644">
        <w:t xml:space="preserve"> insgesamt</w:t>
      </w:r>
      <w:r w:rsidRPr="00477769">
        <w:t xml:space="preserve"> </w:t>
      </w:r>
      <w:r w:rsidR="00474644">
        <w:t>auf hohem Niveau, aber regional unterschiedlich</w:t>
      </w:r>
    </w:p>
    <w:p w:rsidR="00494E1E" w:rsidRDefault="0012281F" w:rsidP="009214AF">
      <w:pPr>
        <w:rPr>
          <w:rFonts w:cs="Arial"/>
          <w:szCs w:val="20"/>
        </w:rPr>
      </w:pPr>
      <w:r>
        <w:rPr>
          <w:rFonts w:cs="Arial"/>
          <w:szCs w:val="20"/>
        </w:rPr>
        <w:t xml:space="preserve">Die </w:t>
      </w:r>
      <w:r w:rsidR="006610FB" w:rsidRPr="000C2652">
        <w:rPr>
          <w:rFonts w:cs="Arial"/>
          <w:szCs w:val="20"/>
        </w:rPr>
        <w:t>anhaltend hohe</w:t>
      </w:r>
      <w:r w:rsidR="002F2270" w:rsidRPr="000C2652">
        <w:rPr>
          <w:rFonts w:cs="Arial"/>
          <w:szCs w:val="20"/>
        </w:rPr>
        <w:t xml:space="preserve"> </w:t>
      </w:r>
      <w:r>
        <w:rPr>
          <w:rFonts w:cs="Arial"/>
          <w:szCs w:val="20"/>
        </w:rPr>
        <w:t xml:space="preserve">Nachfrage nach intelligenten Sensorlösungen, die für eine erhöhte Produktivität in </w:t>
      </w:r>
      <w:r w:rsidR="006F5AB1" w:rsidRPr="000C2652">
        <w:rPr>
          <w:rFonts w:cs="Arial"/>
          <w:szCs w:val="20"/>
        </w:rPr>
        <w:t>Fabrik-, Logistik</w:t>
      </w:r>
      <w:r w:rsidR="00F65AF9" w:rsidRPr="000C2652">
        <w:rPr>
          <w:rFonts w:cs="Arial"/>
          <w:szCs w:val="20"/>
        </w:rPr>
        <w:t>- und Prozessabläufen</w:t>
      </w:r>
      <w:r>
        <w:rPr>
          <w:rFonts w:cs="Arial"/>
          <w:szCs w:val="20"/>
        </w:rPr>
        <w:t xml:space="preserve"> sorgen, </w:t>
      </w:r>
      <w:r w:rsidR="00F65AF9" w:rsidRPr="000C2652">
        <w:rPr>
          <w:rFonts w:cs="Arial"/>
          <w:szCs w:val="20"/>
        </w:rPr>
        <w:t>war weltweit spürbar</w:t>
      </w:r>
      <w:r w:rsidR="001F206C">
        <w:rPr>
          <w:rFonts w:cs="Arial"/>
          <w:szCs w:val="20"/>
        </w:rPr>
        <w:t xml:space="preserve"> – </w:t>
      </w:r>
      <w:r>
        <w:rPr>
          <w:rFonts w:cs="Arial"/>
          <w:szCs w:val="20"/>
        </w:rPr>
        <w:t xml:space="preserve">wenngleich nicht überall auf </w:t>
      </w:r>
      <w:r w:rsidR="001F206C">
        <w:rPr>
          <w:rFonts w:cs="Arial"/>
          <w:szCs w:val="20"/>
        </w:rPr>
        <w:t>gleichem</w:t>
      </w:r>
      <w:r>
        <w:rPr>
          <w:rFonts w:cs="Arial"/>
          <w:szCs w:val="20"/>
        </w:rPr>
        <w:t xml:space="preserve"> Niveau. Im Heimatmarkt Deutschland, in dem SICK über 20 Prozent des Umsatzes</w:t>
      </w:r>
      <w:r w:rsidR="0067569F">
        <w:rPr>
          <w:rFonts w:cs="Arial"/>
          <w:szCs w:val="20"/>
        </w:rPr>
        <w:t xml:space="preserve"> erzielt hat, wuchs vor allem das Geschäft in der Fabrik- und Logistikautomation. Die Prozessautomation blieb dagegen etwas hinter den Erwartungen zurück, weil sich Kunden aus der Öl- und Gasindustrie mit Investitionen</w:t>
      </w:r>
      <w:r w:rsidR="00AA4052">
        <w:rPr>
          <w:rFonts w:cs="Arial"/>
          <w:szCs w:val="20"/>
        </w:rPr>
        <w:t xml:space="preserve"> zurückhielten. In Europa, im Nahen</w:t>
      </w:r>
      <w:r w:rsidR="0067569F">
        <w:rPr>
          <w:rFonts w:cs="Arial"/>
          <w:szCs w:val="20"/>
        </w:rPr>
        <w:t xml:space="preserve"> Osten und Afrika (EMEA) kamen die Wachstumsimpulse ebenfalls aus der Fabrik- und Logistikautomation. Generell bremsten der Wertverlust des britischen Pfunds aufgrund des angekündigten EU-Austritts von Großbritannien sowie der Verfall der türkischen Lira die U</w:t>
      </w:r>
      <w:r w:rsidR="001F206C">
        <w:rPr>
          <w:rFonts w:cs="Arial"/>
          <w:szCs w:val="20"/>
        </w:rPr>
        <w:t>msatzentwicklung in der Region.</w:t>
      </w:r>
      <w:r>
        <w:rPr>
          <w:rFonts w:cs="Arial"/>
          <w:szCs w:val="20"/>
        </w:rPr>
        <w:t xml:space="preserve"> </w:t>
      </w:r>
      <w:r w:rsidR="00474644">
        <w:rPr>
          <w:rFonts w:cs="Arial"/>
          <w:szCs w:val="20"/>
        </w:rPr>
        <w:t xml:space="preserve">Ähnlich verlief die Entwicklung in Nord-, Mittel- und Südamerika: Dort wuchs der Umsatz in der Fabrik- und Logistikautomation ebenfalls am stärksten. Die verhaltene Umsatzentwicklung in Südamerika sowie die Entwicklung des US-Dollar </w:t>
      </w:r>
      <w:r w:rsidR="001A3BE5">
        <w:rPr>
          <w:rFonts w:cs="Arial"/>
          <w:szCs w:val="20"/>
        </w:rPr>
        <w:t>verringerten</w:t>
      </w:r>
      <w:r w:rsidR="00474644">
        <w:rPr>
          <w:rFonts w:cs="Arial"/>
          <w:szCs w:val="20"/>
        </w:rPr>
        <w:t xml:space="preserve"> jedoch das Wachstum. Asien hingegen erwies sich als Wachstumsregion schlechthin: Während der Umsatz in allen anderen Regionen </w:t>
      </w:r>
      <w:r w:rsidR="001A3BE5">
        <w:rPr>
          <w:rFonts w:cs="Arial"/>
          <w:szCs w:val="20"/>
        </w:rPr>
        <w:t>um knapp neun</w:t>
      </w:r>
      <w:r w:rsidR="00474644">
        <w:rPr>
          <w:rFonts w:cs="Arial"/>
          <w:szCs w:val="20"/>
        </w:rPr>
        <w:t xml:space="preserve"> Prozent </w:t>
      </w:r>
      <w:r w:rsidR="001A3BE5">
        <w:rPr>
          <w:rFonts w:cs="Arial"/>
          <w:szCs w:val="20"/>
        </w:rPr>
        <w:t>zunahm</w:t>
      </w:r>
      <w:r w:rsidR="00474644">
        <w:rPr>
          <w:rFonts w:cs="Arial"/>
          <w:szCs w:val="20"/>
        </w:rPr>
        <w:t xml:space="preserve">, stieg er dort mit fast 18 Prozent nahezu doppelt so stark. Besonders in China </w:t>
      </w:r>
      <w:r w:rsidR="00AE1C9E">
        <w:rPr>
          <w:rFonts w:cs="Arial"/>
          <w:szCs w:val="20"/>
        </w:rPr>
        <w:t>erhöhte sich das Geschäftsvolumen signifikant. Dazu trugen vor allem die Elektronik- und Solarindustrie sowie die Automobilbranche bei. Zudem war die Prozessautomation ein wichtiger Wachstumstreiber,</w:t>
      </w:r>
      <w:r w:rsidR="001A3BE5">
        <w:rPr>
          <w:rFonts w:cs="Arial"/>
          <w:szCs w:val="20"/>
        </w:rPr>
        <w:t xml:space="preserve"> weil nach wie vor stark in </w:t>
      </w:r>
      <w:r w:rsidR="00AE1C9E">
        <w:rPr>
          <w:rFonts w:cs="Arial"/>
          <w:szCs w:val="20"/>
        </w:rPr>
        <w:t xml:space="preserve">Emissionsmesstechnik für Kraftwerke sowie Abfall- und Recyclinganlagen investiert wird. </w:t>
      </w:r>
    </w:p>
    <w:p w:rsidR="00F7375F" w:rsidRPr="00477769" w:rsidRDefault="003A373C" w:rsidP="00F7375F">
      <w:pPr>
        <w:pStyle w:val="berschrift2"/>
      </w:pPr>
      <w:r>
        <w:lastRenderedPageBreak/>
        <w:t xml:space="preserve">Profitabilität trotz enormer Aufwendungen für die Zukunftssicherung </w:t>
      </w:r>
    </w:p>
    <w:p w:rsidR="00C41AC3" w:rsidRDefault="003A373C" w:rsidP="00C41AC3">
      <w:pPr>
        <w:rPr>
          <w:rFonts w:cs="Arial"/>
          <w:szCs w:val="20"/>
        </w:rPr>
      </w:pPr>
      <w:r>
        <w:rPr>
          <w:rFonts w:cs="Arial"/>
          <w:szCs w:val="20"/>
        </w:rPr>
        <w:t>Insgesamt sind die Hauptaufwandspositionen im Geschäftsjahr 2017 leicht stärker als der Umsatz gestiegen, insbesondere Personalaufwendungen und sonstige betriebliche Aufwendungen. Diese bilden eine wichtige Grundlage für die Zukunftssicherung im Kontext von Digitalisierung und Industrie 4.0</w:t>
      </w:r>
      <w:r w:rsidR="00562AA8">
        <w:rPr>
          <w:rFonts w:cs="Arial"/>
          <w:szCs w:val="20"/>
        </w:rPr>
        <w:t xml:space="preserve"> und zeigen die vom Unternehmen verfolgte Strategie der Balance zwischen kurzfristiger Ertrag</w:t>
      </w:r>
      <w:r w:rsidR="00AA4052">
        <w:rPr>
          <w:rFonts w:cs="Arial"/>
          <w:szCs w:val="20"/>
        </w:rPr>
        <w:t>s</w:t>
      </w:r>
      <w:r w:rsidR="00562AA8">
        <w:rPr>
          <w:rFonts w:cs="Arial"/>
          <w:szCs w:val="20"/>
        </w:rPr>
        <w:t>- und langfristiger Technologiesicherung</w:t>
      </w:r>
      <w:r>
        <w:rPr>
          <w:rFonts w:cs="Arial"/>
          <w:szCs w:val="20"/>
        </w:rPr>
        <w:t xml:space="preserve">. </w:t>
      </w:r>
      <w:r w:rsidR="00C41AC3" w:rsidRPr="00BD47D6">
        <w:rPr>
          <w:rFonts w:cs="Arial"/>
          <w:szCs w:val="20"/>
        </w:rPr>
        <w:t>Das Ergebnis vor Zinsen und Steuern</w:t>
      </w:r>
      <w:r w:rsidR="00C41AC3">
        <w:rPr>
          <w:rFonts w:cs="Arial"/>
          <w:szCs w:val="20"/>
        </w:rPr>
        <w:t xml:space="preserve"> (</w:t>
      </w:r>
      <w:r w:rsidR="00C41AC3" w:rsidRPr="00BD47D6">
        <w:rPr>
          <w:rFonts w:cs="Arial"/>
          <w:szCs w:val="20"/>
        </w:rPr>
        <w:t>EBIT</w:t>
      </w:r>
      <w:r w:rsidR="00C41AC3">
        <w:rPr>
          <w:rFonts w:cs="Arial"/>
          <w:szCs w:val="20"/>
        </w:rPr>
        <w:t xml:space="preserve">) </w:t>
      </w:r>
      <w:r w:rsidR="00562AA8">
        <w:rPr>
          <w:rFonts w:cs="Arial"/>
          <w:szCs w:val="20"/>
        </w:rPr>
        <w:t>stieg deshalb gegenüber dem Vorjahr lediglich um 0,6 Prozent auf 148,8</w:t>
      </w:r>
      <w:r w:rsidR="00C41AC3">
        <w:rPr>
          <w:rFonts w:cs="Arial"/>
          <w:szCs w:val="20"/>
        </w:rPr>
        <w:t xml:space="preserve"> </w:t>
      </w:r>
      <w:r w:rsidR="00C41AC3" w:rsidRPr="00BD47D6">
        <w:rPr>
          <w:rFonts w:cs="Arial"/>
          <w:szCs w:val="20"/>
        </w:rPr>
        <w:t>Mio. Euro</w:t>
      </w:r>
      <w:r w:rsidR="00C41AC3">
        <w:rPr>
          <w:rFonts w:cs="Arial"/>
          <w:szCs w:val="20"/>
        </w:rPr>
        <w:t>.</w:t>
      </w:r>
      <w:r w:rsidR="00477769">
        <w:rPr>
          <w:rFonts w:cs="Arial"/>
          <w:szCs w:val="20"/>
        </w:rPr>
        <w:t xml:space="preserve"> </w:t>
      </w:r>
      <w:r w:rsidR="00C41AC3" w:rsidRPr="00BD47D6">
        <w:rPr>
          <w:rFonts w:cs="Arial"/>
          <w:szCs w:val="20"/>
        </w:rPr>
        <w:t>Die</w:t>
      </w:r>
      <w:r w:rsidR="00C41AC3" w:rsidRPr="007A0546">
        <w:rPr>
          <w:rFonts w:cs="Arial"/>
          <w:szCs w:val="20"/>
        </w:rPr>
        <w:t xml:space="preserve"> EBIT-Marge bezogen auf d</w:t>
      </w:r>
      <w:r w:rsidR="00C41AC3">
        <w:rPr>
          <w:rFonts w:cs="Arial"/>
          <w:szCs w:val="20"/>
        </w:rPr>
        <w:t xml:space="preserve">en </w:t>
      </w:r>
      <w:r w:rsidR="00C41AC3" w:rsidRPr="00BD47D6">
        <w:rPr>
          <w:rFonts w:cs="Arial"/>
          <w:szCs w:val="20"/>
        </w:rPr>
        <w:t>Umsatz</w:t>
      </w:r>
      <w:r w:rsidR="00C41AC3">
        <w:rPr>
          <w:rFonts w:cs="Arial"/>
          <w:szCs w:val="20"/>
        </w:rPr>
        <w:t xml:space="preserve"> </w:t>
      </w:r>
      <w:r w:rsidR="00562AA8">
        <w:rPr>
          <w:rFonts w:cs="Arial"/>
          <w:szCs w:val="20"/>
        </w:rPr>
        <w:t xml:space="preserve">fiel </w:t>
      </w:r>
      <w:r w:rsidR="00C41AC3">
        <w:rPr>
          <w:rFonts w:cs="Arial"/>
          <w:szCs w:val="20"/>
        </w:rPr>
        <w:t xml:space="preserve">folglich </w:t>
      </w:r>
      <w:r w:rsidR="00562AA8">
        <w:rPr>
          <w:rFonts w:cs="Arial"/>
          <w:szCs w:val="20"/>
        </w:rPr>
        <w:t>auf 9</w:t>
      </w:r>
      <w:r w:rsidR="00C41AC3" w:rsidRPr="007A0546">
        <w:rPr>
          <w:rFonts w:cs="Arial"/>
          <w:szCs w:val="20"/>
        </w:rPr>
        <w:t>,9 Prozent (</w:t>
      </w:r>
      <w:r w:rsidR="00C41AC3" w:rsidRPr="00BD47D6">
        <w:rPr>
          <w:rFonts w:cs="Arial"/>
          <w:szCs w:val="20"/>
        </w:rPr>
        <w:t>Vorjahr</w:t>
      </w:r>
      <w:r w:rsidR="00C41AC3" w:rsidRPr="007A0546">
        <w:rPr>
          <w:rFonts w:cs="Arial"/>
          <w:szCs w:val="20"/>
        </w:rPr>
        <w:t>:</w:t>
      </w:r>
      <w:r w:rsidR="00C41AC3">
        <w:rPr>
          <w:rFonts w:cs="Arial"/>
          <w:szCs w:val="20"/>
        </w:rPr>
        <w:t xml:space="preserve"> 1</w:t>
      </w:r>
      <w:r w:rsidR="00562AA8">
        <w:rPr>
          <w:rFonts w:cs="Arial"/>
          <w:szCs w:val="20"/>
        </w:rPr>
        <w:t>0,9 Prozent), bewegt sich damit aber immer noch auf einem sehr soliden Niveau, zumal der Vorjahreswert von einem Sondereffekt maßgeblich beeinflusst worden war.</w:t>
      </w:r>
      <w:r w:rsidR="00477769">
        <w:rPr>
          <w:rFonts w:cs="Arial"/>
          <w:szCs w:val="20"/>
        </w:rPr>
        <w:t xml:space="preserve"> </w:t>
      </w:r>
      <w:r w:rsidR="00477769" w:rsidRPr="00C41AC3">
        <w:rPr>
          <w:rFonts w:cs="Arial"/>
          <w:szCs w:val="20"/>
        </w:rPr>
        <w:t xml:space="preserve">Nach Abzug der Steuerbelastung ergibt sich </w:t>
      </w:r>
      <w:r w:rsidR="00477769">
        <w:rPr>
          <w:rFonts w:cs="Arial"/>
          <w:szCs w:val="20"/>
        </w:rPr>
        <w:t xml:space="preserve">ein </w:t>
      </w:r>
      <w:r w:rsidR="00562AA8">
        <w:rPr>
          <w:rFonts w:cs="Arial"/>
          <w:szCs w:val="20"/>
        </w:rPr>
        <w:t>Konzernergebnis</w:t>
      </w:r>
      <w:r w:rsidR="00477769" w:rsidRPr="00C41AC3">
        <w:rPr>
          <w:rFonts w:cs="Arial"/>
          <w:szCs w:val="20"/>
        </w:rPr>
        <w:t xml:space="preserve"> in Höhe von 104,</w:t>
      </w:r>
      <w:r w:rsidR="00562AA8">
        <w:rPr>
          <w:rFonts w:cs="Arial"/>
          <w:szCs w:val="20"/>
        </w:rPr>
        <w:t>3</w:t>
      </w:r>
      <w:r w:rsidR="00477769">
        <w:rPr>
          <w:rFonts w:cs="Arial"/>
          <w:szCs w:val="20"/>
        </w:rPr>
        <w:t xml:space="preserve"> </w:t>
      </w:r>
      <w:r w:rsidR="00477769" w:rsidRPr="00BD47D6">
        <w:rPr>
          <w:rFonts w:cs="Arial"/>
          <w:szCs w:val="20"/>
        </w:rPr>
        <w:t>Mio. Euro</w:t>
      </w:r>
      <w:r w:rsidR="00D41993">
        <w:rPr>
          <w:rFonts w:cs="Arial"/>
          <w:szCs w:val="20"/>
        </w:rPr>
        <w:t>.</w:t>
      </w:r>
      <w:r w:rsidR="0017625B">
        <w:rPr>
          <w:rFonts w:cs="Arial"/>
          <w:szCs w:val="20"/>
        </w:rPr>
        <w:t xml:space="preserve"> </w:t>
      </w:r>
      <w:r w:rsidR="00477769">
        <w:rPr>
          <w:rFonts w:cs="Arial"/>
          <w:szCs w:val="20"/>
        </w:rPr>
        <w:t xml:space="preserve">Dies entspricht einer </w:t>
      </w:r>
      <w:r w:rsidR="00477769" w:rsidRPr="00C41AC3">
        <w:rPr>
          <w:rFonts w:cs="Arial"/>
          <w:szCs w:val="20"/>
        </w:rPr>
        <w:t xml:space="preserve">Steigerung von </w:t>
      </w:r>
      <w:r w:rsidR="00562AA8">
        <w:rPr>
          <w:rFonts w:cs="Arial"/>
          <w:szCs w:val="20"/>
        </w:rPr>
        <w:t>0,3</w:t>
      </w:r>
      <w:r w:rsidR="00477769" w:rsidRPr="00C41AC3">
        <w:rPr>
          <w:rFonts w:cs="Arial"/>
          <w:szCs w:val="20"/>
        </w:rPr>
        <w:t xml:space="preserve"> Prozent gegenüber </w:t>
      </w:r>
      <w:r w:rsidR="00477769" w:rsidRPr="00BD47D6">
        <w:rPr>
          <w:rFonts w:cs="Arial"/>
          <w:szCs w:val="20"/>
        </w:rPr>
        <w:t>Vorjahr</w:t>
      </w:r>
      <w:r w:rsidR="00562AA8">
        <w:rPr>
          <w:rFonts w:cs="Arial"/>
          <w:szCs w:val="20"/>
        </w:rPr>
        <w:t xml:space="preserve">. </w:t>
      </w:r>
      <w:r w:rsidR="00C94A4A">
        <w:rPr>
          <w:rFonts w:cs="Arial"/>
          <w:szCs w:val="20"/>
        </w:rPr>
        <w:t>Folglich</w:t>
      </w:r>
      <w:r w:rsidR="00477769" w:rsidRPr="00C41AC3">
        <w:rPr>
          <w:rFonts w:cs="Arial"/>
          <w:szCs w:val="20"/>
        </w:rPr>
        <w:t xml:space="preserve"> </w:t>
      </w:r>
      <w:r w:rsidR="00562AA8">
        <w:rPr>
          <w:rFonts w:cs="Arial"/>
          <w:szCs w:val="20"/>
        </w:rPr>
        <w:t xml:space="preserve">erreichte die </w:t>
      </w:r>
      <w:r w:rsidR="00477769" w:rsidRPr="00BD47D6">
        <w:rPr>
          <w:rFonts w:cs="Arial"/>
          <w:szCs w:val="20"/>
        </w:rPr>
        <w:t>Netto-Umsatzrendite</w:t>
      </w:r>
      <w:r w:rsidR="00562AA8">
        <w:rPr>
          <w:rFonts w:cs="Arial"/>
          <w:szCs w:val="20"/>
        </w:rPr>
        <w:t xml:space="preserve"> mit 6,9 Prozent nicht ganz den Wert des Vorjahres von </w:t>
      </w:r>
      <w:r w:rsidR="00477769" w:rsidRPr="00C41AC3">
        <w:rPr>
          <w:rFonts w:cs="Arial"/>
          <w:szCs w:val="20"/>
        </w:rPr>
        <w:t>7,6 Prozent</w:t>
      </w:r>
      <w:r w:rsidR="00562AA8">
        <w:rPr>
          <w:rFonts w:cs="Arial"/>
          <w:szCs w:val="20"/>
        </w:rPr>
        <w:t>.</w:t>
      </w:r>
    </w:p>
    <w:p w:rsidR="006F5AB1" w:rsidRPr="00ED7917" w:rsidRDefault="006610FB" w:rsidP="006F5AB1">
      <w:pPr>
        <w:pStyle w:val="berschrift2"/>
      </w:pPr>
      <w:r w:rsidRPr="00BD47D6">
        <w:t>Aktivitäten</w:t>
      </w:r>
      <w:r>
        <w:t xml:space="preserve"> im Ber</w:t>
      </w:r>
      <w:r w:rsidR="00562AA8">
        <w:t>eich Forschung und Entwicklung konsequent auf Industrie 4.0 ausgerichtet</w:t>
      </w:r>
    </w:p>
    <w:p w:rsidR="006F5AB1" w:rsidRPr="00ED7917" w:rsidRDefault="00832A44" w:rsidP="006F5AB1">
      <w:pPr>
        <w:autoSpaceDE w:val="0"/>
        <w:autoSpaceDN w:val="0"/>
        <w:adjustRightInd w:val="0"/>
        <w:spacing w:line="240" w:lineRule="auto"/>
        <w:rPr>
          <w:rFonts w:cs="Arial"/>
          <w:szCs w:val="20"/>
        </w:rPr>
      </w:pPr>
      <w:r>
        <w:rPr>
          <w:rFonts w:cs="Arial"/>
          <w:szCs w:val="20"/>
        </w:rPr>
        <w:t>Die</w:t>
      </w:r>
      <w:r w:rsidR="006D66E8">
        <w:rPr>
          <w:rFonts w:cs="Arial"/>
          <w:szCs w:val="20"/>
        </w:rPr>
        <w:t xml:space="preserve"> </w:t>
      </w:r>
      <w:r w:rsidR="006F5AB1">
        <w:rPr>
          <w:rFonts w:cs="Arial"/>
          <w:szCs w:val="20"/>
        </w:rPr>
        <w:t xml:space="preserve">F&amp;E-Tätigkeiten </w:t>
      </w:r>
      <w:r>
        <w:rPr>
          <w:rFonts w:cs="Arial"/>
          <w:szCs w:val="20"/>
        </w:rPr>
        <w:t>des</w:t>
      </w:r>
      <w:r w:rsidR="006F5AB1">
        <w:rPr>
          <w:rFonts w:cs="Arial"/>
          <w:szCs w:val="20"/>
        </w:rPr>
        <w:t xml:space="preserve"> vergangenen </w:t>
      </w:r>
      <w:r w:rsidR="006F5AB1" w:rsidRPr="00BD47D6">
        <w:rPr>
          <w:rFonts w:cs="Arial"/>
          <w:szCs w:val="20"/>
        </w:rPr>
        <w:t>Geschäftsjahr</w:t>
      </w:r>
      <w:r>
        <w:rPr>
          <w:rFonts w:cs="Arial"/>
          <w:szCs w:val="20"/>
        </w:rPr>
        <w:t xml:space="preserve">es spiegeln den Anspruch des Unternehmens wider, </w:t>
      </w:r>
      <w:r w:rsidR="001A3BE5">
        <w:rPr>
          <w:rFonts w:cs="Arial"/>
          <w:szCs w:val="20"/>
        </w:rPr>
        <w:t xml:space="preserve">angesichts </w:t>
      </w:r>
      <w:r>
        <w:rPr>
          <w:rFonts w:cs="Arial"/>
          <w:szCs w:val="20"/>
        </w:rPr>
        <w:t xml:space="preserve">der von Digitalisierung und Industrie 4.0 ausgelösten rasanten Marktumbrüche weiterhin </w:t>
      </w:r>
      <w:r w:rsidR="001F206C">
        <w:rPr>
          <w:rFonts w:cs="Arial"/>
          <w:szCs w:val="20"/>
        </w:rPr>
        <w:t xml:space="preserve">weltweit </w:t>
      </w:r>
      <w:r>
        <w:rPr>
          <w:rFonts w:cs="Arial"/>
          <w:szCs w:val="20"/>
        </w:rPr>
        <w:t xml:space="preserve">eine Spitzenposition </w:t>
      </w:r>
      <w:r w:rsidR="005A4302">
        <w:rPr>
          <w:rFonts w:cs="Arial"/>
          <w:szCs w:val="20"/>
        </w:rPr>
        <w:t>unter den Sensor</w:t>
      </w:r>
      <w:r w:rsidR="00C94A4A">
        <w:rPr>
          <w:rFonts w:cs="Arial"/>
          <w:szCs w:val="20"/>
        </w:rPr>
        <w:t>herstellern</w:t>
      </w:r>
      <w:r w:rsidR="001F206C">
        <w:rPr>
          <w:rFonts w:cs="Arial"/>
          <w:szCs w:val="20"/>
        </w:rPr>
        <w:t xml:space="preserve"> </w:t>
      </w:r>
      <w:r>
        <w:rPr>
          <w:rFonts w:cs="Arial"/>
          <w:szCs w:val="20"/>
        </w:rPr>
        <w:t>einzunehmen.</w:t>
      </w:r>
      <w:r w:rsidR="001A3BE5">
        <w:rPr>
          <w:rFonts w:cs="Arial"/>
          <w:szCs w:val="20"/>
        </w:rPr>
        <w:t xml:space="preserve"> </w:t>
      </w:r>
      <w:r>
        <w:rPr>
          <w:rFonts w:cs="Arial"/>
          <w:szCs w:val="20"/>
        </w:rPr>
        <w:t>D</w:t>
      </w:r>
      <w:r w:rsidR="00407F8D">
        <w:rPr>
          <w:rFonts w:cs="Arial"/>
          <w:szCs w:val="20"/>
        </w:rPr>
        <w:t>ies gilt sowohl für das Kern</w:t>
      </w:r>
      <w:r>
        <w:rPr>
          <w:rFonts w:cs="Arial"/>
          <w:szCs w:val="20"/>
        </w:rPr>
        <w:t>geschäft im Bereich Industrieaut</w:t>
      </w:r>
      <w:r w:rsidR="001F206C">
        <w:rPr>
          <w:rFonts w:cs="Arial"/>
          <w:szCs w:val="20"/>
        </w:rPr>
        <w:t>omation</w:t>
      </w:r>
      <w:r>
        <w:rPr>
          <w:rFonts w:cs="Arial"/>
          <w:szCs w:val="20"/>
        </w:rPr>
        <w:t xml:space="preserve"> als auch für die Rolle als wichtiger Datenlieferant </w:t>
      </w:r>
      <w:r w:rsidR="00C94A4A">
        <w:rPr>
          <w:rFonts w:cs="Arial"/>
          <w:szCs w:val="20"/>
        </w:rPr>
        <w:t>in der</w:t>
      </w:r>
      <w:r>
        <w:rPr>
          <w:rFonts w:cs="Arial"/>
          <w:szCs w:val="20"/>
        </w:rPr>
        <w:t xml:space="preserve"> intelligente</w:t>
      </w:r>
      <w:r w:rsidR="00C94A4A">
        <w:rPr>
          <w:rFonts w:cs="Arial"/>
          <w:szCs w:val="20"/>
        </w:rPr>
        <w:t>n</w:t>
      </w:r>
      <w:r w:rsidR="001A3BE5">
        <w:rPr>
          <w:rFonts w:cs="Arial"/>
          <w:szCs w:val="20"/>
        </w:rPr>
        <w:t xml:space="preserve"> Fabrik</w:t>
      </w:r>
      <w:r>
        <w:rPr>
          <w:rFonts w:cs="Arial"/>
          <w:szCs w:val="20"/>
        </w:rPr>
        <w:t>.</w:t>
      </w:r>
      <w:r w:rsidR="006F5AB1">
        <w:rPr>
          <w:rFonts w:cs="Arial"/>
          <w:szCs w:val="20"/>
        </w:rPr>
        <w:t xml:space="preserve"> </w:t>
      </w:r>
      <w:r>
        <w:rPr>
          <w:rFonts w:cs="Arial"/>
          <w:szCs w:val="20"/>
        </w:rPr>
        <w:t xml:space="preserve">Die F&amp;E-Aufwendungen wurden deshalb weiter intensiviert und lagen mit 169,4 </w:t>
      </w:r>
      <w:r w:rsidR="006F5AB1" w:rsidRPr="00BD47D6">
        <w:rPr>
          <w:rFonts w:cs="Arial"/>
          <w:szCs w:val="20"/>
        </w:rPr>
        <w:t>Mio. Euro</w:t>
      </w:r>
      <w:r w:rsidR="006F5AB1" w:rsidRPr="00ED7917">
        <w:rPr>
          <w:rFonts w:cs="Arial"/>
          <w:szCs w:val="20"/>
        </w:rPr>
        <w:t xml:space="preserve"> </w:t>
      </w:r>
      <w:r>
        <w:rPr>
          <w:rFonts w:cs="Arial"/>
          <w:szCs w:val="20"/>
        </w:rPr>
        <w:t>um 18,1 Prozent über dem Vorjahr. Dies entspricht 11,2</w:t>
      </w:r>
      <w:r w:rsidR="006F5AB1" w:rsidRPr="00ED7917">
        <w:rPr>
          <w:rFonts w:cs="Arial"/>
          <w:szCs w:val="20"/>
        </w:rPr>
        <w:t xml:space="preserve"> Prozent des </w:t>
      </w:r>
      <w:r w:rsidR="006F5AB1" w:rsidRPr="00BD47D6">
        <w:rPr>
          <w:rFonts w:cs="Arial"/>
          <w:szCs w:val="20"/>
        </w:rPr>
        <w:t>Umsatzes</w:t>
      </w:r>
      <w:r w:rsidR="006F5AB1" w:rsidRPr="00ED7917">
        <w:rPr>
          <w:rFonts w:cs="Arial"/>
          <w:szCs w:val="20"/>
        </w:rPr>
        <w:t xml:space="preserve"> (</w:t>
      </w:r>
      <w:r w:rsidR="006F5AB1" w:rsidRPr="00BD47D6">
        <w:rPr>
          <w:rFonts w:cs="Arial"/>
          <w:szCs w:val="20"/>
        </w:rPr>
        <w:t>Vorjahr</w:t>
      </w:r>
      <w:r>
        <w:rPr>
          <w:rFonts w:cs="Arial"/>
          <w:szCs w:val="20"/>
        </w:rPr>
        <w:t>: 10,5</w:t>
      </w:r>
      <w:r w:rsidR="00E04B44">
        <w:rPr>
          <w:rFonts w:cs="Arial"/>
          <w:szCs w:val="20"/>
        </w:rPr>
        <w:t xml:space="preserve"> Prozent). 1.114</w:t>
      </w:r>
      <w:r w:rsidR="006F5AB1" w:rsidRPr="00ED7917">
        <w:rPr>
          <w:rFonts w:cs="Arial"/>
          <w:szCs w:val="20"/>
        </w:rPr>
        <w:t xml:space="preserve"> Mitarbeiter –</w:t>
      </w:r>
      <w:r w:rsidR="006F5AB1">
        <w:rPr>
          <w:rFonts w:cs="Arial"/>
          <w:szCs w:val="20"/>
        </w:rPr>
        <w:t xml:space="preserve"> </w:t>
      </w:r>
      <w:r w:rsidR="00E04B44">
        <w:rPr>
          <w:rFonts w:cs="Arial"/>
          <w:szCs w:val="20"/>
        </w:rPr>
        <w:t>ein Plus von 10,7</w:t>
      </w:r>
      <w:r w:rsidR="006F5AB1" w:rsidRPr="00ED7917">
        <w:rPr>
          <w:rFonts w:cs="Arial"/>
          <w:szCs w:val="20"/>
        </w:rPr>
        <w:t xml:space="preserve"> Prozent gegenüber dem </w:t>
      </w:r>
      <w:r w:rsidR="006F5AB1" w:rsidRPr="00BD47D6">
        <w:rPr>
          <w:rFonts w:cs="Arial"/>
          <w:szCs w:val="20"/>
        </w:rPr>
        <w:t>Vorjahr</w:t>
      </w:r>
      <w:r w:rsidR="006F5AB1" w:rsidRPr="00ED7917">
        <w:rPr>
          <w:rFonts w:cs="Arial"/>
          <w:szCs w:val="20"/>
        </w:rPr>
        <w:t xml:space="preserve"> – haben dazu beigetragen, innovative Ideen in marktfähige Produkte</w:t>
      </w:r>
      <w:r w:rsidR="00E04B44">
        <w:rPr>
          <w:rFonts w:cs="Arial"/>
          <w:szCs w:val="20"/>
        </w:rPr>
        <w:t>, Systeme und Dienstleistungen</w:t>
      </w:r>
      <w:r w:rsidR="006F5AB1" w:rsidRPr="00ED7917">
        <w:rPr>
          <w:rFonts w:cs="Arial"/>
          <w:szCs w:val="20"/>
        </w:rPr>
        <w:t xml:space="preserve"> zu überführen</w:t>
      </w:r>
      <w:r w:rsidR="00E04B44">
        <w:rPr>
          <w:rFonts w:cs="Arial"/>
          <w:szCs w:val="20"/>
        </w:rPr>
        <w:t xml:space="preserve">. Die Neueinstellungen wurden insbesondere an den deutschen F&amp;E-Standorten vorgenommen. </w:t>
      </w:r>
      <w:r w:rsidR="005A4302">
        <w:rPr>
          <w:rFonts w:cs="Arial"/>
          <w:szCs w:val="20"/>
        </w:rPr>
        <w:t>Der Schwerpunkt lag auf</w:t>
      </w:r>
      <w:r w:rsidR="001A3BE5">
        <w:rPr>
          <w:rFonts w:cs="Arial"/>
          <w:szCs w:val="20"/>
        </w:rPr>
        <w:t xml:space="preserve"> der Entwicklung von</w:t>
      </w:r>
      <w:r w:rsidR="00E04B44">
        <w:rPr>
          <w:rFonts w:cs="Arial"/>
          <w:szCs w:val="20"/>
        </w:rPr>
        <w:t xml:space="preserve"> Sensorik-Komplettpakete</w:t>
      </w:r>
      <w:r w:rsidR="001F206C">
        <w:rPr>
          <w:rFonts w:cs="Arial"/>
          <w:szCs w:val="20"/>
        </w:rPr>
        <w:t>n</w:t>
      </w:r>
      <w:r w:rsidR="00E04B44">
        <w:rPr>
          <w:rFonts w:cs="Arial"/>
          <w:szCs w:val="20"/>
        </w:rPr>
        <w:t xml:space="preserve"> </w:t>
      </w:r>
      <w:r w:rsidR="00C94A4A">
        <w:rPr>
          <w:rFonts w:cs="Arial"/>
          <w:szCs w:val="20"/>
        </w:rPr>
        <w:t>zur Navigation und Absicherung von fah</w:t>
      </w:r>
      <w:r w:rsidR="00E04B44">
        <w:rPr>
          <w:rFonts w:cs="Arial"/>
          <w:szCs w:val="20"/>
        </w:rPr>
        <w:t>rerlosen Transportsystemen</w:t>
      </w:r>
      <w:r w:rsidR="00C94A4A">
        <w:rPr>
          <w:rFonts w:cs="Arial"/>
          <w:szCs w:val="20"/>
        </w:rPr>
        <w:t xml:space="preserve">, ein derzeit </w:t>
      </w:r>
      <w:r w:rsidR="001573A1">
        <w:rPr>
          <w:rFonts w:cs="Arial"/>
          <w:szCs w:val="20"/>
        </w:rPr>
        <w:t xml:space="preserve">stark </w:t>
      </w:r>
      <w:r w:rsidR="00C94A4A">
        <w:rPr>
          <w:rFonts w:cs="Arial"/>
          <w:szCs w:val="20"/>
        </w:rPr>
        <w:t>wachsender Markt</w:t>
      </w:r>
      <w:r w:rsidR="001A3BE5">
        <w:rPr>
          <w:rFonts w:cs="Arial"/>
          <w:szCs w:val="20"/>
        </w:rPr>
        <w:t>.</w:t>
      </w:r>
      <w:r w:rsidR="00E04B44">
        <w:rPr>
          <w:rFonts w:cs="Arial"/>
          <w:szCs w:val="20"/>
        </w:rPr>
        <w:t xml:space="preserve"> Darüber hinaus wurde die Entwicklung von digitalen Geschäftsmodellen vorangetrieben und insbesondere SICK AppSpace, die Plattform zur individuellen Sensorprogrammierung mit Cloud-Anbindung, weiterentwickelt.</w:t>
      </w:r>
      <w:r w:rsidR="004E2CDA">
        <w:rPr>
          <w:rFonts w:cs="Arial"/>
          <w:szCs w:val="20"/>
        </w:rPr>
        <w:t xml:space="preserve"> </w:t>
      </w:r>
    </w:p>
    <w:p w:rsidR="003B68BC" w:rsidRPr="003C1AB7" w:rsidRDefault="00C65FE2" w:rsidP="003B68BC">
      <w:pPr>
        <w:pStyle w:val="berschrift2"/>
      </w:pPr>
      <w:r w:rsidRPr="003C1AB7">
        <w:t xml:space="preserve">Mitarbeiterzahl </w:t>
      </w:r>
      <w:r w:rsidR="00C94A4A">
        <w:t>weltweit wächst weiter an</w:t>
      </w:r>
    </w:p>
    <w:p w:rsidR="00C65FE2" w:rsidRPr="00C65FE2" w:rsidRDefault="001F206C" w:rsidP="00FD3FC1">
      <w:pPr>
        <w:rPr>
          <w:rFonts w:cs="Arial"/>
          <w:szCs w:val="20"/>
        </w:rPr>
      </w:pPr>
      <w:r>
        <w:rPr>
          <w:rFonts w:cs="Arial"/>
          <w:szCs w:val="20"/>
        </w:rPr>
        <w:t>Z</w:t>
      </w:r>
      <w:r w:rsidR="00AE1C9E">
        <w:rPr>
          <w:rFonts w:cs="Arial"/>
          <w:szCs w:val="20"/>
        </w:rPr>
        <w:t>um 31. Dezember 2017</w:t>
      </w:r>
      <w:r>
        <w:rPr>
          <w:rFonts w:cs="Arial"/>
          <w:szCs w:val="20"/>
        </w:rPr>
        <w:t xml:space="preserve"> waren weltweit</w:t>
      </w:r>
      <w:r w:rsidR="00AE1C9E">
        <w:rPr>
          <w:rFonts w:cs="Arial"/>
          <w:szCs w:val="20"/>
        </w:rPr>
        <w:t xml:space="preserve"> 8.809</w:t>
      </w:r>
      <w:r w:rsidR="00C65FE2" w:rsidRPr="00BD47D6">
        <w:rPr>
          <w:rFonts w:cs="Arial"/>
          <w:szCs w:val="20"/>
        </w:rPr>
        <w:t xml:space="preserve"> </w:t>
      </w:r>
      <w:r w:rsidR="00EF3391" w:rsidRPr="00BD47D6">
        <w:rPr>
          <w:rFonts w:cs="Arial"/>
          <w:szCs w:val="20"/>
        </w:rPr>
        <w:t xml:space="preserve">Mitarbeiter </w:t>
      </w:r>
      <w:r w:rsidR="00AE1C9E">
        <w:rPr>
          <w:rFonts w:cs="Arial"/>
          <w:szCs w:val="20"/>
        </w:rPr>
        <w:t>(+9</w:t>
      </w:r>
      <w:r w:rsidR="00611E17" w:rsidRPr="00BD47D6">
        <w:rPr>
          <w:rFonts w:cs="Arial"/>
          <w:szCs w:val="20"/>
        </w:rPr>
        <w:t>,5 Prozent gegenüber dem Vorjahr</w:t>
      </w:r>
      <w:r w:rsidR="00611E17">
        <w:rPr>
          <w:rFonts w:cs="Arial"/>
          <w:szCs w:val="20"/>
        </w:rPr>
        <w:t>)</w:t>
      </w:r>
      <w:r w:rsidR="00AE1C9E">
        <w:rPr>
          <w:rFonts w:cs="Arial"/>
          <w:szCs w:val="20"/>
        </w:rPr>
        <w:t xml:space="preserve"> im SICK-Konzern beschäftigt.</w:t>
      </w:r>
      <w:r w:rsidR="00C65FE2" w:rsidRPr="00C65FE2">
        <w:rPr>
          <w:rFonts w:cs="Arial"/>
          <w:szCs w:val="20"/>
        </w:rPr>
        <w:t xml:space="preserve"> </w:t>
      </w:r>
      <w:r w:rsidR="00AE1C9E">
        <w:rPr>
          <w:rFonts w:cs="Arial"/>
          <w:szCs w:val="20"/>
        </w:rPr>
        <w:t xml:space="preserve">Mit diesem Kapazitätsaufbau wurden die Kompetenzen insbesondere in den Bereichen </w:t>
      </w:r>
      <w:r w:rsidR="006D66E8">
        <w:rPr>
          <w:rFonts w:cs="Arial"/>
          <w:szCs w:val="20"/>
        </w:rPr>
        <w:t xml:space="preserve">Forschung und Entwicklung, Produktion sowie der weltweiten Vertriebs- und Serviceorganisation gestärkt. </w:t>
      </w:r>
      <w:r w:rsidR="007F6188">
        <w:rPr>
          <w:rFonts w:cs="Arial"/>
          <w:szCs w:val="20"/>
        </w:rPr>
        <w:t>In Deu</w:t>
      </w:r>
      <w:r w:rsidR="006D66E8">
        <w:rPr>
          <w:rFonts w:cs="Arial"/>
          <w:szCs w:val="20"/>
        </w:rPr>
        <w:t>tschland waren</w:t>
      </w:r>
      <w:r w:rsidR="007F6188">
        <w:rPr>
          <w:rFonts w:cs="Arial"/>
          <w:szCs w:val="20"/>
        </w:rPr>
        <w:t xml:space="preserve"> </w:t>
      </w:r>
      <w:r w:rsidR="006D66E8">
        <w:rPr>
          <w:rFonts w:cs="Arial"/>
          <w:szCs w:val="20"/>
        </w:rPr>
        <w:t>5.224</w:t>
      </w:r>
      <w:r w:rsidR="007F6188">
        <w:rPr>
          <w:rFonts w:cs="Arial"/>
          <w:szCs w:val="20"/>
        </w:rPr>
        <w:t xml:space="preserve"> Mitarbeiter tätig </w:t>
      </w:r>
      <w:r w:rsidR="00C65FE2">
        <w:rPr>
          <w:rFonts w:cs="Arial"/>
          <w:szCs w:val="20"/>
        </w:rPr>
        <w:t>(</w:t>
      </w:r>
      <w:r w:rsidR="006D66E8">
        <w:rPr>
          <w:rFonts w:cs="Arial"/>
          <w:szCs w:val="20"/>
        </w:rPr>
        <w:t>+10,2</w:t>
      </w:r>
      <w:r w:rsidR="006610FB">
        <w:rPr>
          <w:rFonts w:cs="Arial"/>
          <w:szCs w:val="20"/>
        </w:rPr>
        <w:t xml:space="preserve"> Prozent gegenüber dem </w:t>
      </w:r>
      <w:r w:rsidR="006610FB" w:rsidRPr="00BD47D6">
        <w:rPr>
          <w:rFonts w:cs="Arial"/>
          <w:szCs w:val="20"/>
        </w:rPr>
        <w:t>Vorjahr</w:t>
      </w:r>
      <w:r w:rsidR="00C65FE2">
        <w:rPr>
          <w:rFonts w:cs="Arial"/>
          <w:szCs w:val="20"/>
        </w:rPr>
        <w:t xml:space="preserve">). </w:t>
      </w:r>
      <w:r w:rsidR="00C65FE2" w:rsidRPr="00C65FE2">
        <w:rPr>
          <w:rFonts w:cs="Arial"/>
          <w:szCs w:val="20"/>
        </w:rPr>
        <w:t>Im Ausla</w:t>
      </w:r>
      <w:r w:rsidR="00C65FE2">
        <w:rPr>
          <w:rFonts w:cs="Arial"/>
          <w:szCs w:val="20"/>
        </w:rPr>
        <w:t xml:space="preserve">nd wuchs die </w:t>
      </w:r>
      <w:r w:rsidR="00C65FE2" w:rsidRPr="00C65FE2">
        <w:rPr>
          <w:rFonts w:cs="Arial"/>
          <w:szCs w:val="20"/>
        </w:rPr>
        <w:t xml:space="preserve">Belegschaft um </w:t>
      </w:r>
      <w:r w:rsidR="006D66E8">
        <w:rPr>
          <w:rFonts w:cs="Arial"/>
          <w:szCs w:val="20"/>
        </w:rPr>
        <w:t>4,1</w:t>
      </w:r>
      <w:r w:rsidR="00C65FE2" w:rsidRPr="00C65FE2">
        <w:rPr>
          <w:rFonts w:cs="Arial"/>
          <w:szCs w:val="20"/>
        </w:rPr>
        <w:t xml:space="preserve"> Prozen</w:t>
      </w:r>
      <w:r w:rsidR="00C65FE2">
        <w:rPr>
          <w:rFonts w:cs="Arial"/>
          <w:szCs w:val="20"/>
        </w:rPr>
        <w:t xml:space="preserve">t </w:t>
      </w:r>
      <w:r w:rsidR="00C65FE2" w:rsidRPr="00BD47D6">
        <w:rPr>
          <w:rFonts w:cs="Arial"/>
          <w:szCs w:val="20"/>
        </w:rPr>
        <w:t>und</w:t>
      </w:r>
      <w:r w:rsidR="006D66E8">
        <w:rPr>
          <w:rFonts w:cs="Arial"/>
          <w:szCs w:val="20"/>
        </w:rPr>
        <w:t xml:space="preserve"> betrug 3.585</w:t>
      </w:r>
      <w:r w:rsidR="00C65FE2" w:rsidRPr="00C65FE2">
        <w:rPr>
          <w:rFonts w:cs="Arial"/>
          <w:szCs w:val="20"/>
        </w:rPr>
        <w:t xml:space="preserve"> Mitarbeite</w:t>
      </w:r>
      <w:r w:rsidR="00C65FE2">
        <w:rPr>
          <w:rFonts w:cs="Arial"/>
          <w:szCs w:val="20"/>
        </w:rPr>
        <w:t xml:space="preserve">r. </w:t>
      </w:r>
      <w:r w:rsidR="00FD3FC1" w:rsidRPr="00BD47D6">
        <w:rPr>
          <w:rFonts w:cs="Arial"/>
          <w:szCs w:val="20"/>
        </w:rPr>
        <w:t>Die</w:t>
      </w:r>
      <w:r w:rsidR="003C1AB7">
        <w:rPr>
          <w:rFonts w:cs="Arial"/>
          <w:szCs w:val="20"/>
        </w:rPr>
        <w:t xml:space="preserve"> </w:t>
      </w:r>
      <w:r w:rsidR="003C1AB7" w:rsidRPr="00BD47D6">
        <w:rPr>
          <w:rFonts w:cs="Arial"/>
          <w:szCs w:val="20"/>
        </w:rPr>
        <w:t>Ausgaben</w:t>
      </w:r>
      <w:r w:rsidR="003C1AB7">
        <w:rPr>
          <w:rFonts w:cs="Arial"/>
          <w:szCs w:val="20"/>
        </w:rPr>
        <w:t xml:space="preserve"> für Aus- und Weiterbildung </w:t>
      </w:r>
      <w:r w:rsidR="00FD3FC1" w:rsidRPr="00BD47D6">
        <w:rPr>
          <w:rFonts w:cs="Arial"/>
          <w:szCs w:val="20"/>
        </w:rPr>
        <w:t>wurden</w:t>
      </w:r>
      <w:r w:rsidR="00FD3FC1">
        <w:rPr>
          <w:rFonts w:cs="Arial"/>
          <w:szCs w:val="20"/>
        </w:rPr>
        <w:t xml:space="preserve"> </w:t>
      </w:r>
      <w:r w:rsidR="003C1AB7">
        <w:rPr>
          <w:rFonts w:cs="Arial"/>
          <w:szCs w:val="20"/>
        </w:rPr>
        <w:t xml:space="preserve">um </w:t>
      </w:r>
      <w:r w:rsidR="006D66E8">
        <w:rPr>
          <w:rFonts w:cs="Arial"/>
          <w:szCs w:val="20"/>
        </w:rPr>
        <w:t>14,2</w:t>
      </w:r>
      <w:r w:rsidR="003C1AB7">
        <w:rPr>
          <w:rFonts w:cs="Arial"/>
          <w:szCs w:val="20"/>
        </w:rPr>
        <w:t xml:space="preserve"> Prozent auf </w:t>
      </w:r>
      <w:r w:rsidR="006D66E8">
        <w:rPr>
          <w:rFonts w:cs="Arial"/>
          <w:szCs w:val="20"/>
        </w:rPr>
        <w:t>11,8</w:t>
      </w:r>
      <w:r w:rsidR="003C1AB7">
        <w:rPr>
          <w:rFonts w:cs="Arial"/>
          <w:szCs w:val="20"/>
        </w:rPr>
        <w:t xml:space="preserve"> </w:t>
      </w:r>
      <w:r w:rsidR="003C1AB7" w:rsidRPr="00BD47D6">
        <w:rPr>
          <w:rFonts w:cs="Arial"/>
          <w:szCs w:val="20"/>
        </w:rPr>
        <w:t>Mio. Euro</w:t>
      </w:r>
      <w:r w:rsidR="003C1AB7">
        <w:rPr>
          <w:rFonts w:cs="Arial"/>
          <w:szCs w:val="20"/>
        </w:rPr>
        <w:t xml:space="preserve"> </w:t>
      </w:r>
      <w:r w:rsidR="003C1AB7" w:rsidRPr="00BD47D6">
        <w:rPr>
          <w:rFonts w:cs="Arial"/>
          <w:szCs w:val="20"/>
        </w:rPr>
        <w:t>erhöht</w:t>
      </w:r>
      <w:r w:rsidR="003C1AB7">
        <w:rPr>
          <w:rFonts w:cs="Arial"/>
          <w:szCs w:val="20"/>
        </w:rPr>
        <w:t xml:space="preserve"> (</w:t>
      </w:r>
      <w:r w:rsidR="003C1AB7" w:rsidRPr="00BD47D6">
        <w:rPr>
          <w:rFonts w:cs="Arial"/>
          <w:szCs w:val="20"/>
        </w:rPr>
        <w:t>Vorjahr</w:t>
      </w:r>
      <w:r w:rsidR="003C1AB7">
        <w:rPr>
          <w:rFonts w:cs="Arial"/>
          <w:szCs w:val="20"/>
        </w:rPr>
        <w:t xml:space="preserve">: </w:t>
      </w:r>
      <w:r w:rsidR="006D66E8">
        <w:rPr>
          <w:rFonts w:cs="Arial"/>
          <w:szCs w:val="20"/>
        </w:rPr>
        <w:t>10,3</w:t>
      </w:r>
      <w:r w:rsidR="003C1AB7">
        <w:rPr>
          <w:rFonts w:cs="Arial"/>
          <w:szCs w:val="20"/>
        </w:rPr>
        <w:t xml:space="preserve"> </w:t>
      </w:r>
      <w:r w:rsidR="003C1AB7" w:rsidRPr="00BD47D6">
        <w:rPr>
          <w:rFonts w:cs="Arial"/>
          <w:szCs w:val="20"/>
        </w:rPr>
        <w:t>Mio. Euro</w:t>
      </w:r>
      <w:r w:rsidR="003C1AB7">
        <w:rPr>
          <w:rFonts w:cs="Arial"/>
          <w:szCs w:val="20"/>
        </w:rPr>
        <w:t>).</w:t>
      </w:r>
      <w:r w:rsidR="00FD3FC1">
        <w:rPr>
          <w:rFonts w:cs="Arial"/>
          <w:szCs w:val="20"/>
        </w:rPr>
        <w:t xml:space="preserve"> </w:t>
      </w:r>
    </w:p>
    <w:p w:rsidR="00871461" w:rsidRPr="004D47F9" w:rsidRDefault="00C94A4A" w:rsidP="00871461">
      <w:pPr>
        <w:pStyle w:val="berschrift2"/>
        <w:rPr>
          <w:color w:val="000000" w:themeColor="text1"/>
        </w:rPr>
      </w:pPr>
      <w:r>
        <w:rPr>
          <w:color w:val="000000" w:themeColor="text1"/>
        </w:rPr>
        <w:t>Vergleichbares Umsatzwachstum auch für 2018 erwartet</w:t>
      </w:r>
    </w:p>
    <w:p w:rsidR="00CE0CE4" w:rsidRDefault="00D610A8" w:rsidP="003C04DA">
      <w:pPr>
        <w:autoSpaceDE w:val="0"/>
        <w:autoSpaceDN w:val="0"/>
        <w:adjustRightInd w:val="0"/>
        <w:spacing w:line="240" w:lineRule="auto"/>
        <w:rPr>
          <w:rFonts w:cs="Arial"/>
          <w:color w:val="000000" w:themeColor="text1"/>
          <w:szCs w:val="20"/>
        </w:rPr>
      </w:pPr>
      <w:r w:rsidRPr="00BD47D6">
        <w:rPr>
          <w:rFonts w:cs="Arial"/>
          <w:szCs w:val="20"/>
        </w:rPr>
        <w:t xml:space="preserve">Das </w:t>
      </w:r>
      <w:r w:rsidRPr="00F13F0C">
        <w:rPr>
          <w:rFonts w:cs="Arial"/>
          <w:szCs w:val="20"/>
        </w:rPr>
        <w:t>erste Quartal 201</w:t>
      </w:r>
      <w:r w:rsidR="00407F8D">
        <w:rPr>
          <w:rFonts w:cs="Arial"/>
          <w:szCs w:val="20"/>
        </w:rPr>
        <w:t>8</w:t>
      </w:r>
      <w:r w:rsidRPr="00F13F0C">
        <w:rPr>
          <w:rFonts w:cs="Arial"/>
          <w:szCs w:val="20"/>
        </w:rPr>
        <w:t xml:space="preserve"> verlief für </w:t>
      </w:r>
      <w:r w:rsidRPr="00BD47D6">
        <w:rPr>
          <w:rFonts w:cs="Arial"/>
          <w:szCs w:val="20"/>
        </w:rPr>
        <w:t>SICK</w:t>
      </w:r>
      <w:r w:rsidRPr="00F13F0C">
        <w:rPr>
          <w:rFonts w:cs="Arial"/>
          <w:szCs w:val="20"/>
        </w:rPr>
        <w:t xml:space="preserve"> </w:t>
      </w:r>
      <w:r w:rsidR="00407F8D">
        <w:rPr>
          <w:rFonts w:cs="Arial"/>
          <w:szCs w:val="20"/>
        </w:rPr>
        <w:t xml:space="preserve">sehr positiv: </w:t>
      </w:r>
      <w:r w:rsidR="00407F8D" w:rsidRPr="00EF7480">
        <w:rPr>
          <w:rFonts w:cs="Arial"/>
          <w:szCs w:val="20"/>
        </w:rPr>
        <w:t xml:space="preserve">Umsatz </w:t>
      </w:r>
      <w:r w:rsidR="001573A1" w:rsidRPr="00EF7480">
        <w:rPr>
          <w:rFonts w:cs="Arial"/>
          <w:szCs w:val="20"/>
        </w:rPr>
        <w:t xml:space="preserve">und Auftragseingang </w:t>
      </w:r>
      <w:r w:rsidR="00CA5B52" w:rsidRPr="00EF7480">
        <w:rPr>
          <w:rFonts w:cs="Arial"/>
          <w:szCs w:val="20"/>
        </w:rPr>
        <w:t>wuchsen weiter</w:t>
      </w:r>
      <w:r w:rsidR="00407F8D" w:rsidRPr="00EF7480">
        <w:rPr>
          <w:rFonts w:cs="Arial"/>
          <w:szCs w:val="20"/>
        </w:rPr>
        <w:t>.</w:t>
      </w:r>
      <w:r w:rsidR="00407F8D">
        <w:rPr>
          <w:rFonts w:cs="Arial"/>
          <w:szCs w:val="20"/>
        </w:rPr>
        <w:t xml:space="preserve"> Die P</w:t>
      </w:r>
      <w:r w:rsidR="000006A0" w:rsidRPr="00F13F0C">
        <w:rPr>
          <w:rFonts w:cs="Arial"/>
          <w:szCs w:val="20"/>
        </w:rPr>
        <w:t xml:space="preserve">rognose </w:t>
      </w:r>
      <w:r w:rsidR="00407F8D">
        <w:rPr>
          <w:rFonts w:cs="Arial"/>
          <w:color w:val="000000" w:themeColor="text1"/>
          <w:szCs w:val="20"/>
        </w:rPr>
        <w:t>für das</w:t>
      </w:r>
      <w:r w:rsidR="004D47F9">
        <w:rPr>
          <w:rFonts w:cs="Arial"/>
          <w:color w:val="000000" w:themeColor="text1"/>
          <w:szCs w:val="20"/>
        </w:rPr>
        <w:t xml:space="preserve"> </w:t>
      </w:r>
      <w:r w:rsidR="000006A0">
        <w:rPr>
          <w:rFonts w:cs="Arial"/>
          <w:color w:val="000000" w:themeColor="text1"/>
          <w:szCs w:val="20"/>
        </w:rPr>
        <w:t xml:space="preserve">laufende </w:t>
      </w:r>
      <w:r w:rsidR="000006A0" w:rsidRPr="00BD47D6">
        <w:rPr>
          <w:rFonts w:cs="Arial"/>
          <w:color w:val="000000" w:themeColor="text1"/>
          <w:szCs w:val="20"/>
        </w:rPr>
        <w:t>Geschäftsjahr</w:t>
      </w:r>
      <w:r w:rsidR="000006A0">
        <w:rPr>
          <w:rFonts w:cs="Arial"/>
          <w:color w:val="000000" w:themeColor="text1"/>
          <w:szCs w:val="20"/>
        </w:rPr>
        <w:t xml:space="preserve"> fällt </w:t>
      </w:r>
      <w:r>
        <w:rPr>
          <w:rFonts w:cs="Arial"/>
          <w:color w:val="000000" w:themeColor="text1"/>
          <w:szCs w:val="20"/>
        </w:rPr>
        <w:t xml:space="preserve">daher </w:t>
      </w:r>
      <w:r w:rsidR="000006A0">
        <w:rPr>
          <w:rFonts w:cs="Arial"/>
          <w:color w:val="000000" w:themeColor="text1"/>
          <w:szCs w:val="20"/>
        </w:rPr>
        <w:t>optimistisch aus: „</w:t>
      </w:r>
      <w:r w:rsidR="004D47F9">
        <w:rPr>
          <w:rFonts w:cs="Arial"/>
          <w:color w:val="000000" w:themeColor="text1"/>
          <w:szCs w:val="20"/>
        </w:rPr>
        <w:t xml:space="preserve">Die wirtschaftlichen </w:t>
      </w:r>
      <w:r w:rsidR="00407F8D">
        <w:rPr>
          <w:rFonts w:cs="Arial"/>
          <w:color w:val="000000" w:themeColor="text1"/>
          <w:szCs w:val="20"/>
        </w:rPr>
        <w:t xml:space="preserve">Rahmenbedingungen deuten auf eine Überhitzung des Marktes hin. Gleichzeitig werden die </w:t>
      </w:r>
      <w:r w:rsidR="004D47F9">
        <w:rPr>
          <w:rFonts w:cs="Arial"/>
          <w:color w:val="000000" w:themeColor="text1"/>
          <w:szCs w:val="20"/>
        </w:rPr>
        <w:t xml:space="preserve">politischen </w:t>
      </w:r>
      <w:r w:rsidR="00CC1431">
        <w:rPr>
          <w:rFonts w:cs="Arial"/>
          <w:color w:val="000000" w:themeColor="text1"/>
          <w:szCs w:val="20"/>
        </w:rPr>
        <w:t xml:space="preserve">Entwicklungen </w:t>
      </w:r>
      <w:r w:rsidR="00407F8D">
        <w:rPr>
          <w:rFonts w:cs="Arial"/>
          <w:color w:val="000000" w:themeColor="text1"/>
          <w:szCs w:val="20"/>
        </w:rPr>
        <w:t>immer weniger kalkulierbar</w:t>
      </w:r>
      <w:r w:rsidR="004D47F9">
        <w:rPr>
          <w:rFonts w:cs="Arial"/>
          <w:color w:val="000000" w:themeColor="text1"/>
          <w:szCs w:val="20"/>
        </w:rPr>
        <w:t xml:space="preserve">. Dennoch </w:t>
      </w:r>
      <w:r w:rsidR="000006A0">
        <w:rPr>
          <w:rFonts w:cs="Arial"/>
          <w:color w:val="000000" w:themeColor="text1"/>
          <w:szCs w:val="20"/>
        </w:rPr>
        <w:t xml:space="preserve">streben </w:t>
      </w:r>
      <w:r w:rsidR="000006A0" w:rsidRPr="00BD47D6">
        <w:rPr>
          <w:rFonts w:cs="Arial"/>
          <w:color w:val="000000" w:themeColor="text1"/>
          <w:szCs w:val="20"/>
        </w:rPr>
        <w:t>wir</w:t>
      </w:r>
      <w:r w:rsidR="000006A0">
        <w:rPr>
          <w:rFonts w:cs="Arial"/>
          <w:color w:val="000000" w:themeColor="text1"/>
          <w:szCs w:val="20"/>
        </w:rPr>
        <w:t xml:space="preserve"> für</w:t>
      </w:r>
      <w:r w:rsidR="00580E1B">
        <w:rPr>
          <w:rFonts w:cs="Arial"/>
          <w:color w:val="000000" w:themeColor="text1"/>
          <w:szCs w:val="20"/>
        </w:rPr>
        <w:t xml:space="preserve"> 201</w:t>
      </w:r>
      <w:r w:rsidR="001573A1">
        <w:rPr>
          <w:rFonts w:cs="Arial"/>
          <w:color w:val="000000" w:themeColor="text1"/>
          <w:szCs w:val="20"/>
        </w:rPr>
        <w:t>8</w:t>
      </w:r>
      <w:r w:rsidR="00580E1B">
        <w:rPr>
          <w:rFonts w:cs="Arial"/>
          <w:color w:val="000000" w:themeColor="text1"/>
          <w:szCs w:val="20"/>
        </w:rPr>
        <w:t xml:space="preserve"> </w:t>
      </w:r>
      <w:r w:rsidR="000006A0">
        <w:rPr>
          <w:rFonts w:cs="Arial"/>
          <w:color w:val="000000" w:themeColor="text1"/>
          <w:szCs w:val="20"/>
        </w:rPr>
        <w:t>erneut</w:t>
      </w:r>
      <w:r w:rsidR="00580E1B">
        <w:rPr>
          <w:rFonts w:cs="Arial"/>
          <w:color w:val="000000" w:themeColor="text1"/>
          <w:szCs w:val="20"/>
        </w:rPr>
        <w:t xml:space="preserve"> </w:t>
      </w:r>
      <w:r w:rsidR="00580E1B" w:rsidRPr="00BD47D6">
        <w:rPr>
          <w:rFonts w:cs="Arial"/>
          <w:color w:val="000000" w:themeColor="text1"/>
          <w:szCs w:val="20"/>
        </w:rPr>
        <w:t>Bestwerte</w:t>
      </w:r>
      <w:r w:rsidR="00580E1B">
        <w:rPr>
          <w:rFonts w:cs="Arial"/>
          <w:color w:val="000000" w:themeColor="text1"/>
          <w:szCs w:val="20"/>
        </w:rPr>
        <w:t xml:space="preserve"> an</w:t>
      </w:r>
      <w:r w:rsidR="004D47F9">
        <w:rPr>
          <w:rFonts w:cs="Arial"/>
          <w:color w:val="000000" w:themeColor="text1"/>
          <w:szCs w:val="20"/>
        </w:rPr>
        <w:t xml:space="preserve">. </w:t>
      </w:r>
      <w:r w:rsidR="00407F8D">
        <w:rPr>
          <w:rFonts w:cs="Arial"/>
          <w:color w:val="000000" w:themeColor="text1"/>
          <w:szCs w:val="20"/>
        </w:rPr>
        <w:t xml:space="preserve">Wir werden unsere F&amp;E-Aufwendungen weiter </w:t>
      </w:r>
      <w:r w:rsidR="001573A1">
        <w:rPr>
          <w:rFonts w:cs="Arial"/>
          <w:color w:val="000000" w:themeColor="text1"/>
          <w:szCs w:val="20"/>
        </w:rPr>
        <w:t>steigern</w:t>
      </w:r>
      <w:r w:rsidR="00407F8D">
        <w:rPr>
          <w:rFonts w:cs="Arial"/>
          <w:color w:val="000000" w:themeColor="text1"/>
          <w:szCs w:val="20"/>
        </w:rPr>
        <w:t>, um unser Bestandsportfolio und datenbasierte Lösungen für Industrie 4.0 gleichzeitig auszubauen</w:t>
      </w:r>
      <w:r w:rsidR="00407F8D" w:rsidRPr="00053ED6">
        <w:rPr>
          <w:rFonts w:cs="Arial"/>
          <w:szCs w:val="20"/>
        </w:rPr>
        <w:t xml:space="preserve">. </w:t>
      </w:r>
      <w:r w:rsidR="00D80997" w:rsidRPr="00053ED6">
        <w:rPr>
          <w:rFonts w:cs="Arial"/>
          <w:szCs w:val="20"/>
        </w:rPr>
        <w:t>Start-up-Initiativen im Konzernverbund sind unser Weg, neue digitale Geschäftsmodelle zu entwickeln und Industrie 4.0 zu erschließen.</w:t>
      </w:r>
      <w:r w:rsidR="00D80997" w:rsidRPr="00053ED6">
        <w:rPr>
          <w:rFonts w:cs="Arial"/>
          <w:i/>
          <w:szCs w:val="20"/>
        </w:rPr>
        <w:t xml:space="preserve"> </w:t>
      </w:r>
      <w:r w:rsidR="001573A1" w:rsidRPr="00053ED6">
        <w:rPr>
          <w:rFonts w:cs="Arial"/>
          <w:szCs w:val="20"/>
        </w:rPr>
        <w:t>Wir</w:t>
      </w:r>
      <w:r w:rsidR="00407F8D" w:rsidRPr="00053ED6">
        <w:rPr>
          <w:rFonts w:cs="Arial"/>
          <w:szCs w:val="20"/>
        </w:rPr>
        <w:t xml:space="preserve"> rechnen für 2018 </w:t>
      </w:r>
      <w:r w:rsidR="00C94A4A" w:rsidRPr="00053ED6">
        <w:rPr>
          <w:rFonts w:cs="Arial"/>
          <w:szCs w:val="20"/>
        </w:rPr>
        <w:t xml:space="preserve">erneut mit </w:t>
      </w:r>
      <w:r w:rsidR="00407F8D" w:rsidRPr="00053ED6">
        <w:rPr>
          <w:rFonts w:cs="Arial"/>
          <w:szCs w:val="20"/>
        </w:rPr>
        <w:t xml:space="preserve">einem Umsatzplus im </w:t>
      </w:r>
      <w:r w:rsidR="004D47F9" w:rsidRPr="00053ED6">
        <w:rPr>
          <w:rFonts w:cs="Arial"/>
          <w:szCs w:val="20"/>
        </w:rPr>
        <w:t>einstelligen Prozentbereich</w:t>
      </w:r>
      <w:r w:rsidR="000006A0" w:rsidRPr="00053ED6">
        <w:rPr>
          <w:rFonts w:cs="Arial"/>
          <w:szCs w:val="20"/>
        </w:rPr>
        <w:t xml:space="preserve">“, so Dr. Robert Bauer, Vorsitzender </w:t>
      </w:r>
      <w:r w:rsidR="000006A0" w:rsidRPr="00BD47D6">
        <w:rPr>
          <w:rFonts w:cs="Arial"/>
          <w:color w:val="000000" w:themeColor="text1"/>
          <w:szCs w:val="20"/>
        </w:rPr>
        <w:t>des Vorstands</w:t>
      </w:r>
      <w:r w:rsidR="000006A0">
        <w:rPr>
          <w:rFonts w:cs="Arial"/>
          <w:color w:val="000000" w:themeColor="text1"/>
          <w:szCs w:val="20"/>
        </w:rPr>
        <w:t xml:space="preserve"> der </w:t>
      </w:r>
      <w:r w:rsidR="000006A0" w:rsidRPr="00BD47D6">
        <w:rPr>
          <w:rFonts w:cs="Arial"/>
          <w:color w:val="000000" w:themeColor="text1"/>
          <w:szCs w:val="20"/>
        </w:rPr>
        <w:t>SICK</w:t>
      </w:r>
      <w:r w:rsidR="000006A0">
        <w:rPr>
          <w:rFonts w:cs="Arial"/>
          <w:color w:val="000000" w:themeColor="text1"/>
          <w:szCs w:val="20"/>
        </w:rPr>
        <w:t xml:space="preserve"> AG.</w:t>
      </w:r>
      <w:r w:rsidR="00580E1B">
        <w:rPr>
          <w:rFonts w:cs="Arial"/>
          <w:color w:val="000000" w:themeColor="text1"/>
          <w:szCs w:val="20"/>
        </w:rPr>
        <w:t xml:space="preserve"> </w:t>
      </w:r>
    </w:p>
    <w:p w:rsidR="00CA5B52" w:rsidRPr="00580E1B" w:rsidRDefault="00CA5B52" w:rsidP="003C04DA">
      <w:pPr>
        <w:autoSpaceDE w:val="0"/>
        <w:autoSpaceDN w:val="0"/>
        <w:adjustRightInd w:val="0"/>
        <w:spacing w:line="240" w:lineRule="auto"/>
        <w:rPr>
          <w:rFonts w:cs="Arial"/>
          <w:color w:val="000000" w:themeColor="text1"/>
          <w:szCs w:val="20"/>
        </w:rPr>
      </w:pPr>
    </w:p>
    <w:p w:rsidR="00871461" w:rsidRPr="001A604B" w:rsidRDefault="00871461" w:rsidP="00871461">
      <w:pPr>
        <w:pStyle w:val="berschrift2"/>
        <w:suppressAutoHyphens/>
      </w:pPr>
      <w:r w:rsidRPr="00BD47D6">
        <w:lastRenderedPageBreak/>
        <w:t xml:space="preserve">Die </w:t>
      </w:r>
      <w:r w:rsidRPr="00517F77">
        <w:t>wichtigsten Kennzahlen</w:t>
      </w:r>
      <w:r w:rsidR="00AE6B54">
        <w:t xml:space="preserve"> dieser Mitteilung im Überblick</w:t>
      </w:r>
      <w:r w:rsidR="00777A68">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559"/>
        <w:gridCol w:w="1560"/>
        <w:gridCol w:w="1984"/>
      </w:tblGrid>
      <w:tr w:rsidR="00325E32" w:rsidRPr="005927EA" w:rsidTr="00325E32">
        <w:trPr>
          <w:trHeight w:val="416"/>
        </w:trPr>
        <w:tc>
          <w:tcPr>
            <w:tcW w:w="4111" w:type="dxa"/>
            <w:shd w:val="clear" w:color="auto" w:fill="007FC3"/>
            <w:vAlign w:val="center"/>
          </w:tcPr>
          <w:p w:rsidR="00325E32" w:rsidRPr="005927EA" w:rsidRDefault="00325E32" w:rsidP="000A78E5">
            <w:pPr>
              <w:suppressAutoHyphens/>
              <w:rPr>
                <w:rFonts w:cs="Arial"/>
                <w:b/>
                <w:color w:val="FFFFFF" w:themeColor="background1"/>
              </w:rPr>
            </w:pPr>
            <w:r w:rsidRPr="005927EA">
              <w:rPr>
                <w:rFonts w:cs="Arial"/>
                <w:b/>
                <w:color w:val="FFFFFF" w:themeColor="background1"/>
              </w:rPr>
              <w:t>SICK-Konzern (IFRS)</w:t>
            </w:r>
          </w:p>
        </w:tc>
        <w:tc>
          <w:tcPr>
            <w:tcW w:w="1559" w:type="dxa"/>
            <w:shd w:val="clear" w:color="auto" w:fill="007FC3"/>
            <w:vAlign w:val="center"/>
          </w:tcPr>
          <w:p w:rsidR="00325E32" w:rsidRPr="005927EA" w:rsidRDefault="00FF0843" w:rsidP="000A78E5">
            <w:pPr>
              <w:suppressAutoHyphens/>
              <w:rPr>
                <w:rFonts w:cs="Arial"/>
                <w:b/>
                <w:color w:val="FFFFFF" w:themeColor="background1"/>
              </w:rPr>
            </w:pPr>
            <w:r>
              <w:rPr>
                <w:rFonts w:cs="Arial"/>
                <w:b/>
                <w:color w:val="FFFFFF" w:themeColor="background1"/>
              </w:rPr>
              <w:t>2016</w:t>
            </w:r>
          </w:p>
        </w:tc>
        <w:tc>
          <w:tcPr>
            <w:tcW w:w="1560" w:type="dxa"/>
            <w:shd w:val="clear" w:color="auto" w:fill="007FC3"/>
            <w:vAlign w:val="center"/>
          </w:tcPr>
          <w:p w:rsidR="00325E32" w:rsidRPr="005927EA" w:rsidRDefault="00FF0843" w:rsidP="00325E32">
            <w:pPr>
              <w:suppressAutoHyphens/>
              <w:rPr>
                <w:rFonts w:cs="Arial"/>
                <w:b/>
                <w:color w:val="FFFFFF" w:themeColor="background1"/>
              </w:rPr>
            </w:pPr>
            <w:r>
              <w:rPr>
                <w:rFonts w:cs="Arial"/>
                <w:b/>
                <w:color w:val="FFFFFF" w:themeColor="background1"/>
              </w:rPr>
              <w:t>2017</w:t>
            </w:r>
          </w:p>
        </w:tc>
        <w:tc>
          <w:tcPr>
            <w:tcW w:w="1984" w:type="dxa"/>
            <w:shd w:val="clear" w:color="auto" w:fill="007FC3"/>
            <w:vAlign w:val="center"/>
          </w:tcPr>
          <w:p w:rsidR="00325E32" w:rsidRPr="005927EA" w:rsidRDefault="00325E32" w:rsidP="000A78E5">
            <w:pPr>
              <w:suppressAutoHyphens/>
              <w:rPr>
                <w:rFonts w:cs="Arial"/>
                <w:b/>
                <w:color w:val="FFFFFF" w:themeColor="background1"/>
              </w:rPr>
            </w:pPr>
            <w:r w:rsidRPr="005927EA">
              <w:rPr>
                <w:rFonts w:cs="Arial"/>
                <w:b/>
                <w:color w:val="FFFFFF" w:themeColor="background1"/>
              </w:rPr>
              <w:t>Veränderung in %</w:t>
            </w:r>
          </w:p>
        </w:tc>
      </w:tr>
      <w:tr w:rsidR="000A78E5" w:rsidRPr="005927EA" w:rsidTr="000A78E5">
        <w:trPr>
          <w:trHeight w:hRule="exact" w:val="454"/>
        </w:trPr>
        <w:tc>
          <w:tcPr>
            <w:tcW w:w="4111" w:type="dxa"/>
            <w:vAlign w:val="center"/>
          </w:tcPr>
          <w:p w:rsidR="000A78E5" w:rsidRPr="005927EA" w:rsidRDefault="000A78E5" w:rsidP="000A78E5">
            <w:pPr>
              <w:suppressAutoHyphens/>
              <w:spacing w:before="120"/>
              <w:rPr>
                <w:rFonts w:cs="Arial"/>
              </w:rPr>
            </w:pPr>
            <w:r w:rsidRPr="00BD47D6">
              <w:rPr>
                <w:rFonts w:cs="Arial"/>
              </w:rPr>
              <w:t>Auftragseingang</w:t>
            </w:r>
            <w:r w:rsidRPr="005927EA">
              <w:rPr>
                <w:rFonts w:cs="Arial"/>
              </w:rPr>
              <w:t xml:space="preserve"> (in Mio. EUR)</w:t>
            </w:r>
          </w:p>
        </w:tc>
        <w:tc>
          <w:tcPr>
            <w:tcW w:w="1559" w:type="dxa"/>
            <w:vAlign w:val="center"/>
          </w:tcPr>
          <w:p w:rsidR="000A78E5" w:rsidRDefault="00FF0843" w:rsidP="000A78E5">
            <w:pPr>
              <w:suppressAutoHyphens/>
              <w:spacing w:before="120"/>
              <w:rPr>
                <w:rFonts w:cs="Arial"/>
              </w:rPr>
            </w:pPr>
            <w:r>
              <w:rPr>
                <w:rFonts w:cs="Arial"/>
              </w:rPr>
              <w:t>1.398,9</w:t>
            </w:r>
          </w:p>
        </w:tc>
        <w:tc>
          <w:tcPr>
            <w:tcW w:w="1560" w:type="dxa"/>
            <w:vAlign w:val="center"/>
          </w:tcPr>
          <w:p w:rsidR="000A78E5" w:rsidRPr="00603D4A" w:rsidRDefault="00C16263" w:rsidP="000A78E5">
            <w:pPr>
              <w:suppressAutoHyphens/>
              <w:spacing w:before="120"/>
              <w:rPr>
                <w:rFonts w:cs="Arial"/>
              </w:rPr>
            </w:pPr>
            <w:r>
              <w:rPr>
                <w:rFonts w:cs="Arial"/>
              </w:rPr>
              <w:t>1</w:t>
            </w:r>
            <w:r w:rsidR="00DB4CFA">
              <w:rPr>
                <w:rFonts w:cs="Arial"/>
              </w:rPr>
              <w:t>.542,8</w:t>
            </w:r>
          </w:p>
        </w:tc>
        <w:tc>
          <w:tcPr>
            <w:tcW w:w="1984" w:type="dxa"/>
            <w:vAlign w:val="center"/>
          </w:tcPr>
          <w:p w:rsidR="000A78E5" w:rsidRPr="00603D4A" w:rsidRDefault="00DB4CFA" w:rsidP="000A78E5">
            <w:pPr>
              <w:suppressAutoHyphens/>
              <w:spacing w:before="120"/>
              <w:rPr>
                <w:rFonts w:cs="Arial"/>
              </w:rPr>
            </w:pPr>
            <w:r>
              <w:rPr>
                <w:rFonts w:cs="Arial"/>
              </w:rPr>
              <w:t>+10,3</w:t>
            </w:r>
          </w:p>
        </w:tc>
      </w:tr>
      <w:tr w:rsidR="000A78E5" w:rsidRPr="005927EA" w:rsidTr="000A78E5">
        <w:trPr>
          <w:trHeight w:hRule="exact" w:val="454"/>
        </w:trPr>
        <w:tc>
          <w:tcPr>
            <w:tcW w:w="4111" w:type="dxa"/>
            <w:vAlign w:val="center"/>
          </w:tcPr>
          <w:p w:rsidR="000A78E5" w:rsidRPr="005927EA" w:rsidRDefault="000A78E5" w:rsidP="000A78E5">
            <w:pPr>
              <w:suppressAutoHyphens/>
              <w:spacing w:before="120"/>
              <w:rPr>
                <w:rFonts w:cs="Arial"/>
              </w:rPr>
            </w:pPr>
            <w:r w:rsidRPr="00BD47D6">
              <w:rPr>
                <w:rFonts w:cs="Arial"/>
              </w:rPr>
              <w:t>Umsatz</w:t>
            </w:r>
            <w:r w:rsidRPr="005927EA">
              <w:rPr>
                <w:rFonts w:cs="Arial"/>
              </w:rPr>
              <w:t xml:space="preserve"> (in Mio. EUR)</w:t>
            </w:r>
          </w:p>
        </w:tc>
        <w:tc>
          <w:tcPr>
            <w:tcW w:w="1559" w:type="dxa"/>
            <w:vAlign w:val="center"/>
          </w:tcPr>
          <w:p w:rsidR="000A78E5" w:rsidRDefault="00FF0843" w:rsidP="000A78E5">
            <w:pPr>
              <w:suppressAutoHyphens/>
              <w:spacing w:before="120"/>
              <w:rPr>
                <w:rFonts w:cs="Arial"/>
              </w:rPr>
            </w:pPr>
            <w:r>
              <w:rPr>
                <w:rFonts w:cs="Arial"/>
              </w:rPr>
              <w:t>1.361,2</w:t>
            </w:r>
          </w:p>
        </w:tc>
        <w:tc>
          <w:tcPr>
            <w:tcW w:w="1560" w:type="dxa"/>
            <w:vAlign w:val="center"/>
          </w:tcPr>
          <w:p w:rsidR="000A78E5" w:rsidRPr="00603D4A" w:rsidRDefault="00DB4CFA" w:rsidP="000A78E5">
            <w:pPr>
              <w:suppressAutoHyphens/>
              <w:spacing w:before="120"/>
              <w:rPr>
                <w:rFonts w:cs="Arial"/>
              </w:rPr>
            </w:pPr>
            <w:r>
              <w:rPr>
                <w:rFonts w:cs="Arial"/>
              </w:rPr>
              <w:t>1.511,6</w:t>
            </w:r>
          </w:p>
        </w:tc>
        <w:tc>
          <w:tcPr>
            <w:tcW w:w="1984" w:type="dxa"/>
            <w:vAlign w:val="center"/>
          </w:tcPr>
          <w:p w:rsidR="000A78E5" w:rsidRPr="00603D4A" w:rsidRDefault="000A78E5" w:rsidP="00603D4A">
            <w:pPr>
              <w:suppressAutoHyphens/>
              <w:spacing w:before="120"/>
              <w:rPr>
                <w:rFonts w:cs="Arial"/>
              </w:rPr>
            </w:pPr>
            <w:r w:rsidRPr="00603D4A">
              <w:rPr>
                <w:rFonts w:cs="Arial"/>
              </w:rPr>
              <w:t>+</w:t>
            </w:r>
            <w:r w:rsidR="00DB4CFA">
              <w:rPr>
                <w:rFonts w:cs="Arial"/>
              </w:rPr>
              <w:t>11,0</w:t>
            </w:r>
          </w:p>
        </w:tc>
      </w:tr>
      <w:tr w:rsidR="000A78E5" w:rsidRPr="005927EA" w:rsidTr="000A78E5">
        <w:trPr>
          <w:trHeight w:hRule="exact" w:val="454"/>
        </w:trPr>
        <w:tc>
          <w:tcPr>
            <w:tcW w:w="4111" w:type="dxa"/>
            <w:vAlign w:val="center"/>
          </w:tcPr>
          <w:p w:rsidR="000A78E5" w:rsidRPr="005927EA" w:rsidRDefault="000A78E5" w:rsidP="000A78E5">
            <w:pPr>
              <w:suppressAutoHyphens/>
              <w:spacing w:before="120"/>
              <w:rPr>
                <w:rFonts w:cs="Arial"/>
              </w:rPr>
            </w:pPr>
            <w:r w:rsidRPr="00BD47D6">
              <w:rPr>
                <w:rFonts w:cs="Arial"/>
              </w:rPr>
              <w:t>EBIT</w:t>
            </w:r>
            <w:r w:rsidRPr="005927EA">
              <w:rPr>
                <w:rFonts w:cs="Arial"/>
              </w:rPr>
              <w:t xml:space="preserve"> (in Mio. EUR)</w:t>
            </w:r>
          </w:p>
        </w:tc>
        <w:tc>
          <w:tcPr>
            <w:tcW w:w="1559" w:type="dxa"/>
            <w:vAlign w:val="center"/>
          </w:tcPr>
          <w:p w:rsidR="000A78E5" w:rsidRDefault="00FF0843" w:rsidP="000A78E5">
            <w:pPr>
              <w:suppressAutoHyphens/>
              <w:spacing w:before="120"/>
              <w:rPr>
                <w:rFonts w:cs="Arial"/>
              </w:rPr>
            </w:pPr>
            <w:r>
              <w:rPr>
                <w:rFonts w:cs="Arial"/>
              </w:rPr>
              <w:t>147,9</w:t>
            </w:r>
          </w:p>
        </w:tc>
        <w:tc>
          <w:tcPr>
            <w:tcW w:w="1560" w:type="dxa"/>
            <w:vAlign w:val="center"/>
          </w:tcPr>
          <w:p w:rsidR="000A78E5" w:rsidRPr="00603D4A" w:rsidRDefault="00DB4CFA" w:rsidP="000A78E5">
            <w:pPr>
              <w:suppressAutoHyphens/>
              <w:spacing w:before="120"/>
              <w:rPr>
                <w:rFonts w:cs="Arial"/>
              </w:rPr>
            </w:pPr>
            <w:r>
              <w:rPr>
                <w:rFonts w:cs="Arial"/>
              </w:rPr>
              <w:t>148,8</w:t>
            </w:r>
          </w:p>
        </w:tc>
        <w:tc>
          <w:tcPr>
            <w:tcW w:w="1984" w:type="dxa"/>
            <w:vAlign w:val="center"/>
          </w:tcPr>
          <w:p w:rsidR="000A78E5" w:rsidRPr="00603D4A" w:rsidRDefault="00DB4CFA" w:rsidP="000A78E5">
            <w:pPr>
              <w:suppressAutoHyphens/>
              <w:spacing w:before="120"/>
              <w:rPr>
                <w:rFonts w:cs="Arial"/>
              </w:rPr>
            </w:pPr>
            <w:r>
              <w:rPr>
                <w:rFonts w:cs="Arial"/>
              </w:rPr>
              <w:t>+0,6</w:t>
            </w:r>
          </w:p>
        </w:tc>
      </w:tr>
      <w:tr w:rsidR="000A78E5" w:rsidRPr="005927EA" w:rsidTr="000A78E5">
        <w:trPr>
          <w:trHeight w:hRule="exact" w:val="454"/>
        </w:trPr>
        <w:tc>
          <w:tcPr>
            <w:tcW w:w="4111" w:type="dxa"/>
            <w:vAlign w:val="center"/>
          </w:tcPr>
          <w:p w:rsidR="000A78E5" w:rsidRPr="005927EA" w:rsidRDefault="00562AA8" w:rsidP="000A78E5">
            <w:pPr>
              <w:suppressAutoHyphens/>
              <w:spacing w:before="120"/>
              <w:rPr>
                <w:rFonts w:cs="Arial"/>
              </w:rPr>
            </w:pPr>
            <w:r>
              <w:rPr>
                <w:rFonts w:cs="Arial"/>
              </w:rPr>
              <w:t>Konzernergebnis</w:t>
            </w:r>
            <w:r w:rsidR="000A78E5" w:rsidRPr="005927EA">
              <w:rPr>
                <w:rFonts w:cs="Arial"/>
              </w:rPr>
              <w:t xml:space="preserve"> (in Mio. EUR)</w:t>
            </w:r>
          </w:p>
        </w:tc>
        <w:tc>
          <w:tcPr>
            <w:tcW w:w="1559" w:type="dxa"/>
            <w:vAlign w:val="center"/>
          </w:tcPr>
          <w:p w:rsidR="000A78E5" w:rsidRDefault="00FF0843" w:rsidP="000A78E5">
            <w:pPr>
              <w:suppressAutoHyphens/>
              <w:spacing w:before="120"/>
              <w:rPr>
                <w:rFonts w:cs="Arial"/>
              </w:rPr>
            </w:pPr>
            <w:r>
              <w:rPr>
                <w:rFonts w:cs="Arial"/>
              </w:rPr>
              <w:t>104,0</w:t>
            </w:r>
          </w:p>
        </w:tc>
        <w:tc>
          <w:tcPr>
            <w:tcW w:w="1560" w:type="dxa"/>
            <w:vAlign w:val="center"/>
          </w:tcPr>
          <w:p w:rsidR="000A78E5" w:rsidRPr="00603D4A" w:rsidRDefault="00DB4CFA" w:rsidP="000A78E5">
            <w:pPr>
              <w:suppressAutoHyphens/>
              <w:spacing w:before="120"/>
              <w:rPr>
                <w:rFonts w:cs="Arial"/>
              </w:rPr>
            </w:pPr>
            <w:r>
              <w:rPr>
                <w:rFonts w:cs="Arial"/>
              </w:rPr>
              <w:t>104,3</w:t>
            </w:r>
          </w:p>
        </w:tc>
        <w:tc>
          <w:tcPr>
            <w:tcW w:w="1984" w:type="dxa"/>
            <w:vAlign w:val="center"/>
          </w:tcPr>
          <w:p w:rsidR="000A78E5" w:rsidRPr="00603D4A" w:rsidRDefault="00DB4CFA" w:rsidP="000A78E5">
            <w:pPr>
              <w:suppressAutoHyphens/>
              <w:spacing w:before="120"/>
              <w:rPr>
                <w:rFonts w:cs="Arial"/>
              </w:rPr>
            </w:pPr>
            <w:r>
              <w:rPr>
                <w:rFonts w:cs="Arial"/>
              </w:rPr>
              <w:t>+0,3</w:t>
            </w:r>
          </w:p>
        </w:tc>
      </w:tr>
      <w:tr w:rsidR="000A78E5" w:rsidRPr="005927EA" w:rsidTr="000A78E5">
        <w:trPr>
          <w:trHeight w:hRule="exact" w:val="454"/>
        </w:trPr>
        <w:tc>
          <w:tcPr>
            <w:tcW w:w="4111" w:type="dxa"/>
            <w:vAlign w:val="center"/>
          </w:tcPr>
          <w:p w:rsidR="000A78E5" w:rsidRPr="005927EA" w:rsidRDefault="000A78E5" w:rsidP="000A78E5">
            <w:pPr>
              <w:suppressAutoHyphens/>
              <w:spacing w:before="120"/>
              <w:rPr>
                <w:rFonts w:cs="Arial"/>
              </w:rPr>
            </w:pPr>
            <w:r w:rsidRPr="005927EA">
              <w:rPr>
                <w:rFonts w:cs="Arial"/>
              </w:rPr>
              <w:t>F&amp;E-Aufwand (in Mio. EUR)</w:t>
            </w:r>
          </w:p>
        </w:tc>
        <w:tc>
          <w:tcPr>
            <w:tcW w:w="1559" w:type="dxa"/>
            <w:vAlign w:val="center"/>
          </w:tcPr>
          <w:p w:rsidR="000A78E5" w:rsidRDefault="00FF0843" w:rsidP="000A78E5">
            <w:pPr>
              <w:suppressAutoHyphens/>
              <w:spacing w:before="120"/>
              <w:rPr>
                <w:rFonts w:cs="Arial"/>
              </w:rPr>
            </w:pPr>
            <w:r>
              <w:rPr>
                <w:rFonts w:cs="Arial"/>
              </w:rPr>
              <w:t>143,4</w:t>
            </w:r>
          </w:p>
        </w:tc>
        <w:tc>
          <w:tcPr>
            <w:tcW w:w="1560" w:type="dxa"/>
            <w:vAlign w:val="center"/>
          </w:tcPr>
          <w:p w:rsidR="000A78E5" w:rsidRPr="00603D4A" w:rsidRDefault="00DB4CFA" w:rsidP="000A78E5">
            <w:pPr>
              <w:suppressAutoHyphens/>
              <w:spacing w:before="120"/>
              <w:rPr>
                <w:rFonts w:cs="Arial"/>
              </w:rPr>
            </w:pPr>
            <w:r>
              <w:rPr>
                <w:rFonts w:cs="Arial"/>
              </w:rPr>
              <w:t>169,</w:t>
            </w:r>
            <w:r w:rsidR="00603D4A" w:rsidRPr="00603D4A">
              <w:rPr>
                <w:rFonts w:cs="Arial"/>
              </w:rPr>
              <w:t>4</w:t>
            </w:r>
          </w:p>
        </w:tc>
        <w:tc>
          <w:tcPr>
            <w:tcW w:w="1984" w:type="dxa"/>
            <w:vAlign w:val="center"/>
          </w:tcPr>
          <w:p w:rsidR="000A78E5" w:rsidRPr="00603D4A" w:rsidRDefault="00DB4CFA" w:rsidP="000A78E5">
            <w:pPr>
              <w:suppressAutoHyphens/>
              <w:spacing w:before="120"/>
              <w:rPr>
                <w:rFonts w:cs="Arial"/>
              </w:rPr>
            </w:pPr>
            <w:r>
              <w:rPr>
                <w:rFonts w:cs="Arial"/>
              </w:rPr>
              <w:t>+18,1</w:t>
            </w:r>
          </w:p>
        </w:tc>
      </w:tr>
      <w:tr w:rsidR="000A78E5" w:rsidRPr="005927EA" w:rsidTr="000A78E5">
        <w:trPr>
          <w:trHeight w:hRule="exact" w:val="454"/>
        </w:trPr>
        <w:tc>
          <w:tcPr>
            <w:tcW w:w="4111" w:type="dxa"/>
            <w:vAlign w:val="center"/>
          </w:tcPr>
          <w:p w:rsidR="000A78E5" w:rsidRPr="005927EA" w:rsidRDefault="000A78E5" w:rsidP="005977DD">
            <w:pPr>
              <w:suppressAutoHyphens/>
              <w:spacing w:before="120"/>
              <w:rPr>
                <w:rFonts w:cs="Arial"/>
              </w:rPr>
            </w:pPr>
            <w:r w:rsidRPr="005927EA">
              <w:rPr>
                <w:rFonts w:cs="Arial"/>
              </w:rPr>
              <w:t xml:space="preserve">Mitarbeiter </w:t>
            </w:r>
            <w:r w:rsidR="005977DD">
              <w:rPr>
                <w:rFonts w:cs="Arial"/>
              </w:rPr>
              <w:t>per 31. Dezember</w:t>
            </w:r>
          </w:p>
        </w:tc>
        <w:tc>
          <w:tcPr>
            <w:tcW w:w="1559" w:type="dxa"/>
            <w:vAlign w:val="center"/>
          </w:tcPr>
          <w:p w:rsidR="000A78E5" w:rsidRDefault="00FF0843" w:rsidP="000A78E5">
            <w:pPr>
              <w:suppressAutoHyphens/>
              <w:spacing w:before="120"/>
              <w:rPr>
                <w:rFonts w:cs="Arial"/>
              </w:rPr>
            </w:pPr>
            <w:r>
              <w:rPr>
                <w:rFonts w:cs="Arial"/>
              </w:rPr>
              <w:t>8.044</w:t>
            </w:r>
          </w:p>
        </w:tc>
        <w:tc>
          <w:tcPr>
            <w:tcW w:w="1560" w:type="dxa"/>
            <w:vAlign w:val="center"/>
          </w:tcPr>
          <w:p w:rsidR="000A78E5" w:rsidRPr="00603D4A" w:rsidRDefault="00DB4CFA" w:rsidP="000A78E5">
            <w:pPr>
              <w:suppressAutoHyphens/>
              <w:spacing w:before="120"/>
              <w:rPr>
                <w:rFonts w:cs="Arial"/>
              </w:rPr>
            </w:pPr>
            <w:r>
              <w:rPr>
                <w:rFonts w:cs="Arial"/>
              </w:rPr>
              <w:t>8.809</w:t>
            </w:r>
          </w:p>
        </w:tc>
        <w:tc>
          <w:tcPr>
            <w:tcW w:w="1984" w:type="dxa"/>
            <w:vAlign w:val="center"/>
          </w:tcPr>
          <w:p w:rsidR="000A78E5" w:rsidRPr="00603D4A" w:rsidRDefault="00DB4CFA" w:rsidP="000A78E5">
            <w:pPr>
              <w:suppressAutoHyphens/>
              <w:spacing w:before="120"/>
              <w:rPr>
                <w:rFonts w:cs="Arial"/>
              </w:rPr>
            </w:pPr>
            <w:r>
              <w:rPr>
                <w:rFonts w:cs="Arial"/>
              </w:rPr>
              <w:t>+9</w:t>
            </w:r>
            <w:r w:rsidR="00603D4A" w:rsidRPr="00603D4A">
              <w:rPr>
                <w:rFonts w:cs="Arial"/>
              </w:rPr>
              <w:t>,5</w:t>
            </w:r>
          </w:p>
        </w:tc>
      </w:tr>
    </w:tbl>
    <w:p w:rsidR="009214AF" w:rsidRDefault="00D36503" w:rsidP="00871461">
      <w:pPr>
        <w:pStyle w:val="Boilerplate"/>
        <w:spacing w:before="480"/>
      </w:pPr>
      <w:r w:rsidRPr="00BD47D6">
        <w:t>SICK</w:t>
      </w:r>
      <w:r w:rsidRPr="00D36503">
        <w:t xml:space="preserve"> ist einer der weltweit führenden Hersteller von </w:t>
      </w:r>
      <w:r w:rsidRPr="00BD47D6">
        <w:t>Sensoren</w:t>
      </w:r>
      <w:r w:rsidRPr="00D36503">
        <w:t xml:space="preserve"> und </w:t>
      </w:r>
      <w:r w:rsidRPr="0004016D">
        <w:t>Sensorlösungen</w:t>
      </w:r>
      <w:r w:rsidRPr="00D36503">
        <w:t xml:space="preserve"> für industrielle Anwendungen. </w:t>
      </w:r>
      <w:r w:rsidRPr="00BD47D6">
        <w:t>Das</w:t>
      </w:r>
      <w:r w:rsidRPr="00D36503">
        <w:t xml:space="preserve"> 1946 von Dr.-Ing. e. h. </w:t>
      </w:r>
      <w:r w:rsidRPr="00BD47D6">
        <w:t>Erwin</w:t>
      </w:r>
      <w:r w:rsidRPr="00D36503">
        <w:t xml:space="preserve"> Sick gegründete Unternehmen </w:t>
      </w:r>
      <w:r w:rsidRPr="00BD47D6">
        <w:t>mit Stammsitz in Waldkirch im Breisgau</w:t>
      </w:r>
      <w:r w:rsidRPr="00D36503">
        <w:t xml:space="preserve"> nahe Freiburg zählt zu den Technologie- und Marktführern </w:t>
      </w:r>
      <w:r w:rsidRPr="00BD47D6">
        <w:t>und</w:t>
      </w:r>
      <w:r w:rsidRPr="00D36503">
        <w:t xml:space="preserve"> ist mit mehr als </w:t>
      </w:r>
      <w:r w:rsidR="00BA26EB">
        <w:br/>
      </w:r>
      <w:r w:rsidRPr="00D36503">
        <w:t xml:space="preserve">50 </w:t>
      </w:r>
      <w:r w:rsidRPr="00BD47D6">
        <w:t>Tochtergesellschaften</w:t>
      </w:r>
      <w:r w:rsidRPr="00D36503">
        <w:t xml:space="preserve"> und </w:t>
      </w:r>
      <w:r w:rsidRPr="00BD47D6">
        <w:t>Beteiligungen</w:t>
      </w:r>
      <w:r w:rsidRPr="00D36503">
        <w:t xml:space="preserve"> sowie zahlreichen </w:t>
      </w:r>
      <w:r w:rsidRPr="00BD47D6">
        <w:t>Vertretungen</w:t>
      </w:r>
      <w:r w:rsidRPr="00D36503">
        <w:t xml:space="preserve"> rund um den Globu</w:t>
      </w:r>
      <w:r w:rsidR="00325E32">
        <w:t xml:space="preserve">s </w:t>
      </w:r>
      <w:r w:rsidR="00325E32" w:rsidRPr="00BD47D6">
        <w:t>präsent</w:t>
      </w:r>
      <w:r w:rsidR="00325E32">
        <w:t xml:space="preserve">. Im </w:t>
      </w:r>
      <w:r w:rsidR="00325E32" w:rsidRPr="00BD47D6">
        <w:t>Geschäftsjahr</w:t>
      </w:r>
      <w:r w:rsidR="00FF0843">
        <w:t xml:space="preserve"> 2017</w:t>
      </w:r>
      <w:r w:rsidR="00325E32">
        <w:t xml:space="preserve"> beschäftigte </w:t>
      </w:r>
      <w:r w:rsidR="00325E32" w:rsidRPr="00BD47D6">
        <w:t>SICK</w:t>
      </w:r>
      <w:r w:rsidR="00DB4CFA">
        <w:t xml:space="preserve"> </w:t>
      </w:r>
      <w:r w:rsidR="005E4F85">
        <w:t>knapp</w:t>
      </w:r>
      <w:r w:rsidR="00DB4CFA">
        <w:t xml:space="preserve"> 9</w:t>
      </w:r>
      <w:r w:rsidR="0020215B">
        <w:t>.0</w:t>
      </w:r>
      <w:r w:rsidR="00325E32">
        <w:t>00</w:t>
      </w:r>
      <w:r w:rsidRPr="00D36503">
        <w:t xml:space="preserve"> Mitarbeiter weltweit und erzie</w:t>
      </w:r>
      <w:r w:rsidR="00325E32">
        <w:t xml:space="preserve">lte einen Konzernumsatz von </w:t>
      </w:r>
      <w:r w:rsidR="001F206C">
        <w:t>rund</w:t>
      </w:r>
      <w:r w:rsidR="00E4769F">
        <w:t xml:space="preserve"> </w:t>
      </w:r>
      <w:r w:rsidR="00DB4CFA">
        <w:t>1,5</w:t>
      </w:r>
      <w:r w:rsidR="00325E32">
        <w:t xml:space="preserve"> </w:t>
      </w:r>
      <w:r w:rsidR="00325E32" w:rsidRPr="00BD47D6">
        <w:t xml:space="preserve">Mrd. </w:t>
      </w:r>
      <w:r w:rsidRPr="00BD47D6">
        <w:t>Euro</w:t>
      </w:r>
      <w:r w:rsidRPr="00D36503">
        <w:t>.</w:t>
      </w:r>
      <w:r>
        <w:br/>
      </w:r>
      <w:r w:rsidRPr="00BD47D6">
        <w:t>Weitere Informationen</w:t>
      </w:r>
      <w:r w:rsidRPr="00D36503">
        <w:t xml:space="preserve"> zu </w:t>
      </w:r>
      <w:r w:rsidRPr="00BD47D6">
        <w:t>SICK</w:t>
      </w:r>
      <w:r w:rsidRPr="00D36503">
        <w:t xml:space="preserve"> erhalten </w:t>
      </w:r>
      <w:r w:rsidRPr="0004016D">
        <w:t>Sie</w:t>
      </w:r>
      <w:r w:rsidRPr="00D36503">
        <w:t xml:space="preserve"> </w:t>
      </w:r>
      <w:r w:rsidRPr="00BD47D6">
        <w:t>im Internet unter http://www.sick.com oder unter Telefon</w:t>
      </w:r>
      <w:r w:rsidRPr="00D36503">
        <w:t xml:space="preserve"> </w:t>
      </w:r>
      <w:r w:rsidR="00BA26EB">
        <w:br/>
      </w:r>
      <w:r w:rsidR="00325E32">
        <w:t>+49 7681 202-4</w:t>
      </w:r>
      <w:r w:rsidR="004D47F9">
        <w:t>345</w:t>
      </w:r>
      <w:r w:rsidR="007B22F3">
        <w:t>.</w:t>
      </w:r>
    </w:p>
    <w:sectPr w:rsidR="009214AF"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D6" w:rsidRDefault="009C2CD6" w:rsidP="00CB0E99">
      <w:pPr>
        <w:spacing w:line="240" w:lineRule="auto"/>
      </w:pPr>
      <w:r>
        <w:separator/>
      </w:r>
    </w:p>
  </w:endnote>
  <w:endnote w:type="continuationSeparator" w:id="0">
    <w:p w:rsidR="009C2CD6" w:rsidRDefault="009C2CD6"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2E" w:rsidRPr="00E273D4" w:rsidRDefault="00DD2C2E"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C86D5B">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86D5B">
      <w:rPr>
        <w:noProof/>
        <w:sz w:val="14"/>
        <w:szCs w:val="14"/>
      </w:rPr>
      <w:t>3</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2E" w:rsidRPr="004D70DF" w:rsidRDefault="00DD2C2E"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D6" w:rsidRDefault="009C2CD6" w:rsidP="00CB0E99">
      <w:pPr>
        <w:spacing w:line="240" w:lineRule="auto"/>
      </w:pPr>
      <w:r>
        <w:separator/>
      </w:r>
    </w:p>
  </w:footnote>
  <w:footnote w:type="continuationSeparator" w:id="0">
    <w:p w:rsidR="009C2CD6" w:rsidRDefault="009C2CD6"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2E" w:rsidRPr="005774AB" w:rsidRDefault="00DD2C2E"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2CE6BEBB" wp14:editId="2B2FE01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2E" w:rsidRPr="00D36503" w:rsidRDefault="00DD2C2E"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rsidR="00DD2C2E" w:rsidRPr="00E04E05" w:rsidRDefault="00DD2C2E"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66B4386E" wp14:editId="2AE5B3A5">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F45EA"/>
    <w:multiLevelType w:val="hybridMultilevel"/>
    <w:tmpl w:val="C2BC4D40"/>
    <w:lvl w:ilvl="0" w:tplc="F2485388">
      <w:start w:val="1"/>
      <w:numFmt w:val="bullet"/>
      <w:lvlText w:val="-"/>
      <w:lvlJc w:val="left"/>
      <w:pPr>
        <w:tabs>
          <w:tab w:val="num" w:pos="720"/>
        </w:tabs>
        <w:ind w:left="720" w:hanging="360"/>
      </w:pPr>
      <w:rPr>
        <w:rFonts w:ascii="Times New Roman" w:hAnsi="Times New Roman" w:hint="default"/>
      </w:rPr>
    </w:lvl>
    <w:lvl w:ilvl="1" w:tplc="D9320DAA" w:tentative="1">
      <w:start w:val="1"/>
      <w:numFmt w:val="bullet"/>
      <w:lvlText w:val="-"/>
      <w:lvlJc w:val="left"/>
      <w:pPr>
        <w:tabs>
          <w:tab w:val="num" w:pos="1440"/>
        </w:tabs>
        <w:ind w:left="1440" w:hanging="360"/>
      </w:pPr>
      <w:rPr>
        <w:rFonts w:ascii="Times New Roman" w:hAnsi="Times New Roman" w:hint="default"/>
      </w:rPr>
    </w:lvl>
    <w:lvl w:ilvl="2" w:tplc="9988623A" w:tentative="1">
      <w:start w:val="1"/>
      <w:numFmt w:val="bullet"/>
      <w:lvlText w:val="-"/>
      <w:lvlJc w:val="left"/>
      <w:pPr>
        <w:tabs>
          <w:tab w:val="num" w:pos="2160"/>
        </w:tabs>
        <w:ind w:left="2160" w:hanging="360"/>
      </w:pPr>
      <w:rPr>
        <w:rFonts w:ascii="Times New Roman" w:hAnsi="Times New Roman" w:hint="default"/>
      </w:rPr>
    </w:lvl>
    <w:lvl w:ilvl="3" w:tplc="DD80F7C8" w:tentative="1">
      <w:start w:val="1"/>
      <w:numFmt w:val="bullet"/>
      <w:lvlText w:val="-"/>
      <w:lvlJc w:val="left"/>
      <w:pPr>
        <w:tabs>
          <w:tab w:val="num" w:pos="2880"/>
        </w:tabs>
        <w:ind w:left="2880" w:hanging="360"/>
      </w:pPr>
      <w:rPr>
        <w:rFonts w:ascii="Times New Roman" w:hAnsi="Times New Roman" w:hint="default"/>
      </w:rPr>
    </w:lvl>
    <w:lvl w:ilvl="4" w:tplc="66EA82E4" w:tentative="1">
      <w:start w:val="1"/>
      <w:numFmt w:val="bullet"/>
      <w:lvlText w:val="-"/>
      <w:lvlJc w:val="left"/>
      <w:pPr>
        <w:tabs>
          <w:tab w:val="num" w:pos="3600"/>
        </w:tabs>
        <w:ind w:left="3600" w:hanging="360"/>
      </w:pPr>
      <w:rPr>
        <w:rFonts w:ascii="Times New Roman" w:hAnsi="Times New Roman" w:hint="default"/>
      </w:rPr>
    </w:lvl>
    <w:lvl w:ilvl="5" w:tplc="056EB3BC" w:tentative="1">
      <w:start w:val="1"/>
      <w:numFmt w:val="bullet"/>
      <w:lvlText w:val="-"/>
      <w:lvlJc w:val="left"/>
      <w:pPr>
        <w:tabs>
          <w:tab w:val="num" w:pos="4320"/>
        </w:tabs>
        <w:ind w:left="4320" w:hanging="360"/>
      </w:pPr>
      <w:rPr>
        <w:rFonts w:ascii="Times New Roman" w:hAnsi="Times New Roman" w:hint="default"/>
      </w:rPr>
    </w:lvl>
    <w:lvl w:ilvl="6" w:tplc="BFAE09FC" w:tentative="1">
      <w:start w:val="1"/>
      <w:numFmt w:val="bullet"/>
      <w:lvlText w:val="-"/>
      <w:lvlJc w:val="left"/>
      <w:pPr>
        <w:tabs>
          <w:tab w:val="num" w:pos="5040"/>
        </w:tabs>
        <w:ind w:left="5040" w:hanging="360"/>
      </w:pPr>
      <w:rPr>
        <w:rFonts w:ascii="Times New Roman" w:hAnsi="Times New Roman" w:hint="default"/>
      </w:rPr>
    </w:lvl>
    <w:lvl w:ilvl="7" w:tplc="7E2E4A48" w:tentative="1">
      <w:start w:val="1"/>
      <w:numFmt w:val="bullet"/>
      <w:lvlText w:val="-"/>
      <w:lvlJc w:val="left"/>
      <w:pPr>
        <w:tabs>
          <w:tab w:val="num" w:pos="5760"/>
        </w:tabs>
        <w:ind w:left="5760" w:hanging="360"/>
      </w:pPr>
      <w:rPr>
        <w:rFonts w:ascii="Times New Roman" w:hAnsi="Times New Roman" w:hint="default"/>
      </w:rPr>
    </w:lvl>
    <w:lvl w:ilvl="8" w:tplc="048001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ttachedTemplate r:id="rId1"/>
  <w:defaultTabStop w:val="708"/>
  <w:hyphenationZone w:val="425"/>
  <w:characterSpacingControl w:val="doNotCompress"/>
  <w:hdrShapeDefaults>
    <o:shapedefaults v:ext="edit" spidmax="28673">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9"/>
    <w:rsid w:val="000006A0"/>
    <w:rsid w:val="000077BD"/>
    <w:rsid w:val="00020C18"/>
    <w:rsid w:val="000332D6"/>
    <w:rsid w:val="00035182"/>
    <w:rsid w:val="0004016D"/>
    <w:rsid w:val="00047437"/>
    <w:rsid w:val="000519F5"/>
    <w:rsid w:val="00053ED6"/>
    <w:rsid w:val="00082311"/>
    <w:rsid w:val="00087191"/>
    <w:rsid w:val="000908A6"/>
    <w:rsid w:val="00094C9F"/>
    <w:rsid w:val="000A20C1"/>
    <w:rsid w:val="000A78E5"/>
    <w:rsid w:val="000B7C82"/>
    <w:rsid w:val="000C2652"/>
    <w:rsid w:val="000D19DC"/>
    <w:rsid w:val="000D23CA"/>
    <w:rsid w:val="000E2D3C"/>
    <w:rsid w:val="000E38AB"/>
    <w:rsid w:val="000E4354"/>
    <w:rsid w:val="000F5C66"/>
    <w:rsid w:val="000F7CE8"/>
    <w:rsid w:val="001103E0"/>
    <w:rsid w:val="0012281F"/>
    <w:rsid w:val="001310B9"/>
    <w:rsid w:val="00140BE6"/>
    <w:rsid w:val="00144B8E"/>
    <w:rsid w:val="001573A1"/>
    <w:rsid w:val="0015775E"/>
    <w:rsid w:val="00161D1B"/>
    <w:rsid w:val="00161FD9"/>
    <w:rsid w:val="00165ADB"/>
    <w:rsid w:val="00172B83"/>
    <w:rsid w:val="0017428D"/>
    <w:rsid w:val="00174F61"/>
    <w:rsid w:val="0017625B"/>
    <w:rsid w:val="00180A76"/>
    <w:rsid w:val="00190A9B"/>
    <w:rsid w:val="001A3BE5"/>
    <w:rsid w:val="001A5682"/>
    <w:rsid w:val="001B0E41"/>
    <w:rsid w:val="001B3A32"/>
    <w:rsid w:val="001C17AE"/>
    <w:rsid w:val="001C2172"/>
    <w:rsid w:val="001C6197"/>
    <w:rsid w:val="001E47B4"/>
    <w:rsid w:val="001E51CD"/>
    <w:rsid w:val="001E5EDB"/>
    <w:rsid w:val="001F206C"/>
    <w:rsid w:val="0020215B"/>
    <w:rsid w:val="002157C5"/>
    <w:rsid w:val="00215810"/>
    <w:rsid w:val="00216883"/>
    <w:rsid w:val="002215CD"/>
    <w:rsid w:val="00222850"/>
    <w:rsid w:val="00227C3D"/>
    <w:rsid w:val="002303F2"/>
    <w:rsid w:val="002333F8"/>
    <w:rsid w:val="00241027"/>
    <w:rsid w:val="00243368"/>
    <w:rsid w:val="00246DAA"/>
    <w:rsid w:val="00247D17"/>
    <w:rsid w:val="0025113F"/>
    <w:rsid w:val="00257FF3"/>
    <w:rsid w:val="002610B2"/>
    <w:rsid w:val="002661BA"/>
    <w:rsid w:val="00286D84"/>
    <w:rsid w:val="002A0FDA"/>
    <w:rsid w:val="002A2A0B"/>
    <w:rsid w:val="002A3232"/>
    <w:rsid w:val="002B10E3"/>
    <w:rsid w:val="002C16DF"/>
    <w:rsid w:val="002C34AC"/>
    <w:rsid w:val="002D6E57"/>
    <w:rsid w:val="002F2270"/>
    <w:rsid w:val="00302AE3"/>
    <w:rsid w:val="003047EE"/>
    <w:rsid w:val="003078FC"/>
    <w:rsid w:val="00311305"/>
    <w:rsid w:val="00325E32"/>
    <w:rsid w:val="0033606A"/>
    <w:rsid w:val="003409DF"/>
    <w:rsid w:val="00350C1D"/>
    <w:rsid w:val="00365DDC"/>
    <w:rsid w:val="00373862"/>
    <w:rsid w:val="00377DF0"/>
    <w:rsid w:val="00384F0A"/>
    <w:rsid w:val="00390B37"/>
    <w:rsid w:val="00390C85"/>
    <w:rsid w:val="00392F4D"/>
    <w:rsid w:val="003A373C"/>
    <w:rsid w:val="003B29EA"/>
    <w:rsid w:val="003B68BC"/>
    <w:rsid w:val="003B7380"/>
    <w:rsid w:val="003C04DA"/>
    <w:rsid w:val="003C0FCE"/>
    <w:rsid w:val="003C1AB7"/>
    <w:rsid w:val="003D12C2"/>
    <w:rsid w:val="00407F8D"/>
    <w:rsid w:val="0041708B"/>
    <w:rsid w:val="00461E95"/>
    <w:rsid w:val="00474644"/>
    <w:rsid w:val="00477769"/>
    <w:rsid w:val="00494E1E"/>
    <w:rsid w:val="004A21C5"/>
    <w:rsid w:val="004D47F9"/>
    <w:rsid w:val="004D70DF"/>
    <w:rsid w:val="004E2CDA"/>
    <w:rsid w:val="005027F6"/>
    <w:rsid w:val="00512050"/>
    <w:rsid w:val="00514A5D"/>
    <w:rsid w:val="00524031"/>
    <w:rsid w:val="00530510"/>
    <w:rsid w:val="00531EA0"/>
    <w:rsid w:val="00547286"/>
    <w:rsid w:val="005554B4"/>
    <w:rsid w:val="00561CAF"/>
    <w:rsid w:val="00562AA8"/>
    <w:rsid w:val="005729E5"/>
    <w:rsid w:val="005774AB"/>
    <w:rsid w:val="00580E1B"/>
    <w:rsid w:val="005864EF"/>
    <w:rsid w:val="00593B17"/>
    <w:rsid w:val="005977DD"/>
    <w:rsid w:val="005A4302"/>
    <w:rsid w:val="005E4F85"/>
    <w:rsid w:val="005E790D"/>
    <w:rsid w:val="005F0DE6"/>
    <w:rsid w:val="005F4798"/>
    <w:rsid w:val="00603D4A"/>
    <w:rsid w:val="00611E17"/>
    <w:rsid w:val="006169AA"/>
    <w:rsid w:val="00620BA5"/>
    <w:rsid w:val="006374FF"/>
    <w:rsid w:val="00637F15"/>
    <w:rsid w:val="00652D0A"/>
    <w:rsid w:val="006610FB"/>
    <w:rsid w:val="0067569F"/>
    <w:rsid w:val="00684F88"/>
    <w:rsid w:val="00695F05"/>
    <w:rsid w:val="006A5B48"/>
    <w:rsid w:val="006A6549"/>
    <w:rsid w:val="006A725F"/>
    <w:rsid w:val="006C5AFB"/>
    <w:rsid w:val="006D66E8"/>
    <w:rsid w:val="006E2CB9"/>
    <w:rsid w:val="006F09FE"/>
    <w:rsid w:val="006F5AB1"/>
    <w:rsid w:val="006F6DE2"/>
    <w:rsid w:val="006F7D07"/>
    <w:rsid w:val="00713986"/>
    <w:rsid w:val="00721ACC"/>
    <w:rsid w:val="00731011"/>
    <w:rsid w:val="00735906"/>
    <w:rsid w:val="00735B1C"/>
    <w:rsid w:val="00744175"/>
    <w:rsid w:val="00747C14"/>
    <w:rsid w:val="0075680B"/>
    <w:rsid w:val="00762E5A"/>
    <w:rsid w:val="007678D5"/>
    <w:rsid w:val="00777A68"/>
    <w:rsid w:val="0079794B"/>
    <w:rsid w:val="007A0546"/>
    <w:rsid w:val="007A0763"/>
    <w:rsid w:val="007B152C"/>
    <w:rsid w:val="007B22F3"/>
    <w:rsid w:val="007D126C"/>
    <w:rsid w:val="007D7404"/>
    <w:rsid w:val="007E6CE3"/>
    <w:rsid w:val="007F0429"/>
    <w:rsid w:val="007F5D3A"/>
    <w:rsid w:val="007F6188"/>
    <w:rsid w:val="00805279"/>
    <w:rsid w:val="00815B35"/>
    <w:rsid w:val="00832A44"/>
    <w:rsid w:val="00834EB1"/>
    <w:rsid w:val="00862524"/>
    <w:rsid w:val="00866EC3"/>
    <w:rsid w:val="00871461"/>
    <w:rsid w:val="00873325"/>
    <w:rsid w:val="008818F5"/>
    <w:rsid w:val="00892E93"/>
    <w:rsid w:val="008940AA"/>
    <w:rsid w:val="00897F28"/>
    <w:rsid w:val="008B6429"/>
    <w:rsid w:val="008C21FC"/>
    <w:rsid w:val="008D6275"/>
    <w:rsid w:val="00910D8D"/>
    <w:rsid w:val="009133CB"/>
    <w:rsid w:val="0091729E"/>
    <w:rsid w:val="00917481"/>
    <w:rsid w:val="009214AF"/>
    <w:rsid w:val="0094024B"/>
    <w:rsid w:val="009858F6"/>
    <w:rsid w:val="009A3165"/>
    <w:rsid w:val="009A5E98"/>
    <w:rsid w:val="009C1042"/>
    <w:rsid w:val="009C2CD6"/>
    <w:rsid w:val="009C7C76"/>
    <w:rsid w:val="009D4F01"/>
    <w:rsid w:val="009D577D"/>
    <w:rsid w:val="00A11BF7"/>
    <w:rsid w:val="00A33D14"/>
    <w:rsid w:val="00A4395C"/>
    <w:rsid w:val="00A4733D"/>
    <w:rsid w:val="00A772D9"/>
    <w:rsid w:val="00A775E9"/>
    <w:rsid w:val="00A863F5"/>
    <w:rsid w:val="00AA00E4"/>
    <w:rsid w:val="00AA03E0"/>
    <w:rsid w:val="00AA094C"/>
    <w:rsid w:val="00AA1899"/>
    <w:rsid w:val="00AA4052"/>
    <w:rsid w:val="00AB0A33"/>
    <w:rsid w:val="00AC228C"/>
    <w:rsid w:val="00AE1C9E"/>
    <w:rsid w:val="00AE39C0"/>
    <w:rsid w:val="00AE4A53"/>
    <w:rsid w:val="00AE6B54"/>
    <w:rsid w:val="00AE782F"/>
    <w:rsid w:val="00AF173A"/>
    <w:rsid w:val="00AF484A"/>
    <w:rsid w:val="00B03194"/>
    <w:rsid w:val="00B123CA"/>
    <w:rsid w:val="00B2255C"/>
    <w:rsid w:val="00B30C5E"/>
    <w:rsid w:val="00B31D5B"/>
    <w:rsid w:val="00B418F4"/>
    <w:rsid w:val="00B54F8A"/>
    <w:rsid w:val="00B6628E"/>
    <w:rsid w:val="00B706EA"/>
    <w:rsid w:val="00BA26EB"/>
    <w:rsid w:val="00BA79DA"/>
    <w:rsid w:val="00BB7439"/>
    <w:rsid w:val="00BC443A"/>
    <w:rsid w:val="00BC6C05"/>
    <w:rsid w:val="00BD1EED"/>
    <w:rsid w:val="00BD2BE3"/>
    <w:rsid w:val="00BD47D6"/>
    <w:rsid w:val="00BE21D9"/>
    <w:rsid w:val="00C02C79"/>
    <w:rsid w:val="00C04E45"/>
    <w:rsid w:val="00C16263"/>
    <w:rsid w:val="00C22B42"/>
    <w:rsid w:val="00C22BFE"/>
    <w:rsid w:val="00C27B9E"/>
    <w:rsid w:val="00C3606D"/>
    <w:rsid w:val="00C41AC3"/>
    <w:rsid w:val="00C41E46"/>
    <w:rsid w:val="00C46C14"/>
    <w:rsid w:val="00C55A7D"/>
    <w:rsid w:val="00C609DD"/>
    <w:rsid w:val="00C65FE2"/>
    <w:rsid w:val="00C7643D"/>
    <w:rsid w:val="00C8052B"/>
    <w:rsid w:val="00C826DA"/>
    <w:rsid w:val="00C84DBD"/>
    <w:rsid w:val="00C86D5B"/>
    <w:rsid w:val="00C92212"/>
    <w:rsid w:val="00C94A4A"/>
    <w:rsid w:val="00CA5B52"/>
    <w:rsid w:val="00CB0E99"/>
    <w:rsid w:val="00CB6416"/>
    <w:rsid w:val="00CC1431"/>
    <w:rsid w:val="00CC1D58"/>
    <w:rsid w:val="00CC7EAA"/>
    <w:rsid w:val="00CE0CE4"/>
    <w:rsid w:val="00CE1934"/>
    <w:rsid w:val="00CF1884"/>
    <w:rsid w:val="00D0763C"/>
    <w:rsid w:val="00D24A10"/>
    <w:rsid w:val="00D36503"/>
    <w:rsid w:val="00D41993"/>
    <w:rsid w:val="00D610A8"/>
    <w:rsid w:val="00D6734F"/>
    <w:rsid w:val="00D73797"/>
    <w:rsid w:val="00D7448E"/>
    <w:rsid w:val="00D804BF"/>
    <w:rsid w:val="00D80997"/>
    <w:rsid w:val="00D876C8"/>
    <w:rsid w:val="00D94555"/>
    <w:rsid w:val="00D96BCE"/>
    <w:rsid w:val="00D97B8B"/>
    <w:rsid w:val="00DA1D78"/>
    <w:rsid w:val="00DA4CC7"/>
    <w:rsid w:val="00DB4CFA"/>
    <w:rsid w:val="00DC0193"/>
    <w:rsid w:val="00DC3C9F"/>
    <w:rsid w:val="00DC7BCB"/>
    <w:rsid w:val="00DD060D"/>
    <w:rsid w:val="00DD2C2E"/>
    <w:rsid w:val="00DD4751"/>
    <w:rsid w:val="00DF74C4"/>
    <w:rsid w:val="00E00220"/>
    <w:rsid w:val="00E04B44"/>
    <w:rsid w:val="00E04E05"/>
    <w:rsid w:val="00E273D4"/>
    <w:rsid w:val="00E33724"/>
    <w:rsid w:val="00E43D52"/>
    <w:rsid w:val="00E4769F"/>
    <w:rsid w:val="00E722BD"/>
    <w:rsid w:val="00E753B2"/>
    <w:rsid w:val="00E82CFA"/>
    <w:rsid w:val="00E97E49"/>
    <w:rsid w:val="00EA1085"/>
    <w:rsid w:val="00EA5D62"/>
    <w:rsid w:val="00ED34D2"/>
    <w:rsid w:val="00ED7917"/>
    <w:rsid w:val="00EE67CC"/>
    <w:rsid w:val="00EF3391"/>
    <w:rsid w:val="00EF7480"/>
    <w:rsid w:val="00F05A05"/>
    <w:rsid w:val="00F1234E"/>
    <w:rsid w:val="00F13F0C"/>
    <w:rsid w:val="00F164FC"/>
    <w:rsid w:val="00F17459"/>
    <w:rsid w:val="00F33858"/>
    <w:rsid w:val="00F52337"/>
    <w:rsid w:val="00F5454F"/>
    <w:rsid w:val="00F62A54"/>
    <w:rsid w:val="00F62F5A"/>
    <w:rsid w:val="00F65AF9"/>
    <w:rsid w:val="00F71698"/>
    <w:rsid w:val="00F72D5C"/>
    <w:rsid w:val="00F7375F"/>
    <w:rsid w:val="00F92ADD"/>
    <w:rsid w:val="00FA43DE"/>
    <w:rsid w:val="00FB0FEE"/>
    <w:rsid w:val="00FB40E4"/>
    <w:rsid w:val="00FC781C"/>
    <w:rsid w:val="00FD156C"/>
    <w:rsid w:val="00FD3FC1"/>
    <w:rsid w:val="00FF0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7fc3"/>
    </o:shapedefaults>
    <o:shapelayout v:ext="edit">
      <o:idmap v:ext="edit" data="1"/>
    </o:shapelayout>
  </w:shapeDefaults>
  <w:decimalSymbol w:val=","/>
  <w:listSeparator w:val=";"/>
  <w14:docId w14:val="0915BAAF"/>
  <w15:docId w15:val="{6B5715A2-90B4-4606-AD0F-E47172F6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berarbeitung">
    <w:name w:val="Revision"/>
    <w:hidden/>
    <w:uiPriority w:val="99"/>
    <w:semiHidden/>
    <w:rsid w:val="002215CD"/>
    <w:rPr>
      <w:rFonts w:ascii="Arial" w:hAnsi="Arial"/>
      <w:szCs w:val="22"/>
      <w:lang w:eastAsia="en-US"/>
    </w:rPr>
  </w:style>
  <w:style w:type="paragraph" w:styleId="Listenabsatz">
    <w:name w:val="List Paragraph"/>
    <w:basedOn w:val="Standard"/>
    <w:uiPriority w:val="34"/>
    <w:qFormat/>
    <w:rsid w:val="00FD3FC1"/>
    <w:pPr>
      <w:spacing w:line="240" w:lineRule="auto"/>
      <w:ind w:left="720"/>
      <w:contextualSpacing/>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93500">
      <w:bodyDiv w:val="1"/>
      <w:marLeft w:val="0"/>
      <w:marRight w:val="0"/>
      <w:marTop w:val="0"/>
      <w:marBottom w:val="0"/>
      <w:divBdr>
        <w:top w:val="none" w:sz="0" w:space="0" w:color="auto"/>
        <w:left w:val="none" w:sz="0" w:space="0" w:color="auto"/>
        <w:bottom w:val="none" w:sz="0" w:space="0" w:color="auto"/>
        <w:right w:val="none" w:sz="0" w:space="0" w:color="auto"/>
      </w:divBdr>
      <w:divsChild>
        <w:div w:id="1996107133">
          <w:marLeft w:val="274"/>
          <w:marRight w:val="0"/>
          <w:marTop w:val="0"/>
          <w:marBottom w:val="0"/>
          <w:divBdr>
            <w:top w:val="none" w:sz="0" w:space="0" w:color="auto"/>
            <w:left w:val="none" w:sz="0" w:space="0" w:color="auto"/>
            <w:bottom w:val="none" w:sz="0" w:space="0" w:color="auto"/>
            <w:right w:val="none" w:sz="0" w:space="0" w:color="auto"/>
          </w:divBdr>
        </w:div>
      </w:divsChild>
    </w:div>
    <w:div w:id="1126116584">
      <w:bodyDiv w:val="1"/>
      <w:marLeft w:val="0"/>
      <w:marRight w:val="0"/>
      <w:marTop w:val="0"/>
      <w:marBottom w:val="0"/>
      <w:divBdr>
        <w:top w:val="none" w:sz="0" w:space="0" w:color="auto"/>
        <w:left w:val="none" w:sz="0" w:space="0" w:color="auto"/>
        <w:bottom w:val="none" w:sz="0" w:space="0" w:color="auto"/>
        <w:right w:val="none" w:sz="0" w:space="0" w:color="auto"/>
      </w:divBdr>
      <w:divsChild>
        <w:div w:id="4680897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8394-1F76-4DF2-82CA-1239F151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3</Pages>
  <Words>1133</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Axel Langer</dc:creator>
  <cp:lastModifiedBy>Diana Jockmann</cp:lastModifiedBy>
  <cp:revision>9</cp:revision>
  <cp:lastPrinted>2018-03-08T08:35:00Z</cp:lastPrinted>
  <dcterms:created xsi:type="dcterms:W3CDTF">2018-04-09T14:56:00Z</dcterms:created>
  <dcterms:modified xsi:type="dcterms:W3CDTF">2018-04-19T07:11:00Z</dcterms:modified>
</cp:coreProperties>
</file>