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EF" w:rsidRPr="00FB18EF" w:rsidRDefault="00FB18EF" w:rsidP="00FB18EF">
      <w:pPr>
        <w:autoSpaceDE w:val="0"/>
        <w:autoSpaceDN w:val="0"/>
        <w:adjustRightInd w:val="0"/>
        <w:spacing w:line="240" w:lineRule="auto"/>
        <w:rPr>
          <w:rFonts w:cs="Arial"/>
          <w:b/>
          <w:sz w:val="24"/>
          <w:szCs w:val="24"/>
        </w:rPr>
      </w:pPr>
      <w:r w:rsidRPr="00FB18EF">
        <w:rPr>
          <w:rFonts w:eastAsia="Times New Roman" w:cs="Arial"/>
          <w:b/>
          <w:bCs/>
          <w:kern w:val="32"/>
          <w:sz w:val="24"/>
          <w:szCs w:val="24"/>
        </w:rPr>
        <w:t xml:space="preserve">REINRAUMTAUGLICHKEIT FÜR HOHE </w:t>
      </w:r>
      <w:r w:rsidRPr="00FB18EF">
        <w:rPr>
          <w:rFonts w:cs="Arial"/>
          <w:b/>
          <w:sz w:val="24"/>
          <w:szCs w:val="24"/>
        </w:rPr>
        <w:t>PRODUKTIVITÄT UND FLEXIBILITÄT</w:t>
      </w:r>
    </w:p>
    <w:p w:rsidR="008A3208" w:rsidRPr="00FB18EF" w:rsidRDefault="008A3208" w:rsidP="00FB18EF">
      <w:pPr>
        <w:pStyle w:val="berschrift1"/>
        <w:rPr>
          <w:rFonts w:cs="Arial"/>
          <w:b w:val="0"/>
          <w:sz w:val="24"/>
          <w:szCs w:val="24"/>
        </w:rPr>
      </w:pPr>
      <w:r w:rsidRPr="00FB18EF">
        <w:rPr>
          <w:rFonts w:cs="Arial"/>
          <w:b w:val="0"/>
          <w:sz w:val="24"/>
          <w:szCs w:val="24"/>
        </w:rPr>
        <w:t xml:space="preserve">TWINOX4: der robuste Sicherheits-Lichtvorhang für </w:t>
      </w:r>
      <w:r w:rsidRPr="00FB18EF">
        <w:rPr>
          <w:b w:val="0"/>
          <w:sz w:val="24"/>
          <w:szCs w:val="24"/>
        </w:rPr>
        <w:t>aseptische Abfüll- und Verschließmaschinen</w:t>
      </w:r>
    </w:p>
    <w:p w:rsidR="00D73797" w:rsidRDefault="00D73797" w:rsidP="00D73797"/>
    <w:p w:rsidR="00D73797" w:rsidRDefault="00D73797" w:rsidP="00D73797"/>
    <w:p w:rsidR="00D36503" w:rsidRDefault="00D36503" w:rsidP="00D73797"/>
    <w:p w:rsidR="009B41A3" w:rsidRDefault="006273B4" w:rsidP="00FB18EF">
      <w:pPr>
        <w:autoSpaceDE w:val="0"/>
        <w:autoSpaceDN w:val="0"/>
        <w:adjustRightInd w:val="0"/>
        <w:spacing w:line="240" w:lineRule="auto"/>
        <w:rPr>
          <w:rFonts w:eastAsia="Times New Roman" w:cs="Arial"/>
          <w:b/>
          <w:bCs/>
          <w:iCs/>
          <w:szCs w:val="20"/>
          <w:lang w:eastAsia="de-DE"/>
        </w:rPr>
      </w:pPr>
      <w:r w:rsidRPr="00FB18EF">
        <w:rPr>
          <w:rFonts w:eastAsia="Times New Roman" w:cs="Arial"/>
          <w:b/>
          <w:bCs/>
          <w:iCs/>
          <w:szCs w:val="20"/>
          <w:lang w:eastAsia="de-DE"/>
        </w:rPr>
        <w:t xml:space="preserve">Waldkirch, </w:t>
      </w:r>
      <w:r w:rsidR="008A3208" w:rsidRPr="00FB18EF">
        <w:rPr>
          <w:rFonts w:eastAsia="Times New Roman" w:cs="Arial"/>
          <w:b/>
          <w:bCs/>
          <w:iCs/>
          <w:szCs w:val="20"/>
          <w:lang w:eastAsia="de-DE"/>
        </w:rPr>
        <w:t>September 2018</w:t>
      </w:r>
      <w:r w:rsidR="00BA26EB" w:rsidRPr="00FB18EF">
        <w:rPr>
          <w:rFonts w:eastAsia="Times New Roman" w:cs="Arial"/>
          <w:b/>
          <w:bCs/>
          <w:iCs/>
          <w:szCs w:val="20"/>
          <w:lang w:eastAsia="de-DE"/>
        </w:rPr>
        <w:t xml:space="preserve"> – </w:t>
      </w:r>
      <w:r w:rsidR="00FB18EF" w:rsidRPr="00FB18EF">
        <w:rPr>
          <w:rFonts w:eastAsia="Times New Roman" w:cs="Arial"/>
          <w:b/>
          <w:bCs/>
          <w:iCs/>
          <w:szCs w:val="20"/>
          <w:lang w:eastAsia="de-DE"/>
        </w:rPr>
        <w:t xml:space="preserve">Der Sicherheits-Lichtvorhang TWINOX4 wurde speziell für </w:t>
      </w:r>
      <w:r w:rsidR="006D72F3">
        <w:rPr>
          <w:rFonts w:eastAsia="Times New Roman" w:cs="Arial"/>
          <w:b/>
          <w:bCs/>
          <w:iCs/>
          <w:szCs w:val="20"/>
          <w:lang w:eastAsia="de-DE"/>
        </w:rPr>
        <w:t>die Absicherung</w:t>
      </w:r>
      <w:r w:rsidR="00FB18EF">
        <w:rPr>
          <w:rFonts w:eastAsia="Times New Roman" w:cs="Arial"/>
          <w:b/>
          <w:bCs/>
          <w:iCs/>
          <w:szCs w:val="20"/>
          <w:lang w:eastAsia="de-DE"/>
        </w:rPr>
        <w:t xml:space="preserve"> </w:t>
      </w:r>
      <w:r w:rsidR="006D72F3" w:rsidRPr="006D72F3">
        <w:rPr>
          <w:rFonts w:eastAsia="Times New Roman" w:cs="Arial"/>
          <w:b/>
          <w:bCs/>
          <w:iCs/>
          <w:szCs w:val="20"/>
          <w:lang w:eastAsia="de-DE"/>
        </w:rPr>
        <w:t xml:space="preserve">von aseptischen Abfüll- und Verschließmaschinen für Pharma- und Kosmetikprodukte entwickelt. </w:t>
      </w:r>
      <w:r w:rsidR="00A42EC3">
        <w:rPr>
          <w:rFonts w:eastAsia="Times New Roman" w:cs="Arial"/>
          <w:b/>
          <w:bCs/>
          <w:iCs/>
          <w:szCs w:val="20"/>
          <w:lang w:eastAsia="de-DE"/>
        </w:rPr>
        <w:t>Um maximalen Produktschutz zu gewährleisten</w:t>
      </w:r>
      <w:r w:rsidR="001A1223">
        <w:rPr>
          <w:rFonts w:eastAsia="Times New Roman" w:cs="Arial"/>
          <w:b/>
          <w:bCs/>
          <w:iCs/>
          <w:szCs w:val="20"/>
          <w:lang w:eastAsia="de-DE"/>
        </w:rPr>
        <w:t>, werden in p</w:t>
      </w:r>
      <w:r w:rsidR="00A42EC3">
        <w:rPr>
          <w:rFonts w:eastAsia="Times New Roman" w:cs="Arial"/>
          <w:b/>
          <w:bCs/>
          <w:iCs/>
          <w:szCs w:val="20"/>
          <w:lang w:eastAsia="de-DE"/>
        </w:rPr>
        <w:t>harmazeutischen Herstellanlagen physische Barrieren genutzt</w:t>
      </w:r>
      <w:r w:rsidR="001A1223">
        <w:rPr>
          <w:rFonts w:eastAsia="Times New Roman" w:cs="Arial"/>
          <w:b/>
          <w:bCs/>
          <w:iCs/>
          <w:szCs w:val="20"/>
          <w:lang w:eastAsia="de-DE"/>
        </w:rPr>
        <w:t>,</w:t>
      </w:r>
      <w:r w:rsidR="00A42EC3">
        <w:rPr>
          <w:rFonts w:eastAsia="Times New Roman" w:cs="Arial"/>
          <w:b/>
          <w:bCs/>
          <w:iCs/>
          <w:szCs w:val="20"/>
          <w:lang w:eastAsia="de-DE"/>
        </w:rPr>
        <w:t xml:space="preserve"> </w:t>
      </w:r>
      <w:r w:rsidR="001A1223">
        <w:rPr>
          <w:rFonts w:eastAsia="Times New Roman" w:cs="Arial"/>
          <w:b/>
          <w:bCs/>
          <w:iCs/>
          <w:szCs w:val="20"/>
          <w:lang w:eastAsia="de-DE"/>
        </w:rPr>
        <w:t xml:space="preserve">die </w:t>
      </w:r>
      <w:r w:rsidR="00A42EC3">
        <w:rPr>
          <w:rFonts w:eastAsia="Times New Roman" w:cs="Arial"/>
          <w:b/>
          <w:bCs/>
          <w:iCs/>
          <w:szCs w:val="20"/>
          <w:lang w:eastAsia="de-DE"/>
        </w:rPr>
        <w:t xml:space="preserve">Produkt und Anwender trennen. </w:t>
      </w:r>
      <w:r w:rsidR="001A1223">
        <w:rPr>
          <w:rFonts w:eastAsia="Times New Roman" w:cs="Arial"/>
          <w:b/>
          <w:bCs/>
          <w:iCs/>
          <w:szCs w:val="20"/>
          <w:lang w:eastAsia="de-DE"/>
        </w:rPr>
        <w:t xml:space="preserve">Mittels </w:t>
      </w:r>
      <w:r w:rsidR="00A42EC3">
        <w:rPr>
          <w:rFonts w:eastAsia="Times New Roman" w:cs="Arial"/>
          <w:b/>
          <w:bCs/>
          <w:iCs/>
          <w:szCs w:val="20"/>
          <w:lang w:eastAsia="de-DE"/>
        </w:rPr>
        <w:t>H</w:t>
      </w:r>
      <w:r w:rsidR="00FB18EF" w:rsidRPr="00FB18EF">
        <w:rPr>
          <w:rFonts w:eastAsia="Times New Roman" w:cs="Arial"/>
          <w:b/>
          <w:bCs/>
          <w:iCs/>
          <w:szCs w:val="20"/>
          <w:lang w:eastAsia="de-DE"/>
        </w:rPr>
        <w:t xml:space="preserve">andschuh </w:t>
      </w:r>
      <w:r w:rsidR="001A1223">
        <w:rPr>
          <w:rFonts w:eastAsia="Times New Roman" w:cs="Arial"/>
          <w:b/>
          <w:bCs/>
          <w:iCs/>
          <w:szCs w:val="20"/>
          <w:lang w:eastAsia="de-DE"/>
        </w:rPr>
        <w:t>ist der</w:t>
      </w:r>
      <w:r w:rsidR="00FB18EF" w:rsidRPr="00FB18EF">
        <w:rPr>
          <w:rFonts w:eastAsia="Times New Roman" w:cs="Arial"/>
          <w:b/>
          <w:bCs/>
          <w:iCs/>
          <w:szCs w:val="20"/>
          <w:lang w:eastAsia="de-DE"/>
        </w:rPr>
        <w:t xml:space="preserve"> Zugang zum Prozess ohne Kontaminationsrisiken</w:t>
      </w:r>
      <w:r w:rsidR="001A1223">
        <w:rPr>
          <w:rFonts w:eastAsia="Times New Roman" w:cs="Arial"/>
          <w:b/>
          <w:bCs/>
          <w:iCs/>
          <w:szCs w:val="20"/>
          <w:lang w:eastAsia="de-DE"/>
        </w:rPr>
        <w:t xml:space="preserve"> möglich</w:t>
      </w:r>
      <w:r w:rsidR="00FB18EF" w:rsidRPr="00FB18EF">
        <w:rPr>
          <w:rFonts w:eastAsia="Times New Roman" w:cs="Arial"/>
          <w:b/>
          <w:bCs/>
          <w:iCs/>
          <w:szCs w:val="20"/>
          <w:lang w:eastAsia="de-DE"/>
        </w:rPr>
        <w:t xml:space="preserve">. </w:t>
      </w:r>
    </w:p>
    <w:p w:rsidR="00A42EC3" w:rsidRDefault="00FB18EF" w:rsidP="00195FC2">
      <w:pPr>
        <w:autoSpaceDE w:val="0"/>
        <w:autoSpaceDN w:val="0"/>
        <w:adjustRightInd w:val="0"/>
        <w:spacing w:line="240" w:lineRule="auto"/>
        <w:rPr>
          <w:rFonts w:eastAsia="Times New Roman" w:cs="Arial"/>
          <w:b/>
          <w:bCs/>
          <w:iCs/>
          <w:szCs w:val="20"/>
          <w:lang w:eastAsia="de-DE"/>
        </w:rPr>
      </w:pPr>
      <w:r w:rsidRPr="00FB18EF">
        <w:rPr>
          <w:rFonts w:eastAsia="Times New Roman" w:cs="Arial"/>
          <w:b/>
          <w:bCs/>
          <w:iCs/>
          <w:szCs w:val="20"/>
          <w:lang w:eastAsia="de-DE"/>
        </w:rPr>
        <w:t>Damit Eingriffe nur im stehenden Prozess erfolgen, schützt der Sicherheits-Lichtvorhang die Zugänge</w:t>
      </w:r>
      <w:r w:rsidR="00195FC2">
        <w:rPr>
          <w:rFonts w:eastAsia="Times New Roman" w:cs="Arial"/>
          <w:b/>
          <w:bCs/>
          <w:iCs/>
          <w:szCs w:val="20"/>
          <w:lang w:eastAsia="de-DE"/>
        </w:rPr>
        <w:t xml:space="preserve">. </w:t>
      </w:r>
      <w:r w:rsidR="002A2E29">
        <w:rPr>
          <w:rFonts w:eastAsia="Times New Roman" w:cs="Arial"/>
          <w:b/>
          <w:bCs/>
          <w:iCs/>
          <w:szCs w:val="20"/>
          <w:lang w:eastAsia="de-DE"/>
        </w:rPr>
        <w:t xml:space="preserve">Die im TWINOX4 </w:t>
      </w:r>
      <w:r w:rsidR="00195FC2" w:rsidRPr="002A2E29">
        <w:rPr>
          <w:rFonts w:eastAsia="Times New Roman" w:cs="Arial"/>
          <w:b/>
          <w:bCs/>
          <w:iCs/>
          <w:szCs w:val="20"/>
          <w:lang w:eastAsia="de-DE"/>
        </w:rPr>
        <w:t>verwendete</w:t>
      </w:r>
      <w:r w:rsidR="002A2E29">
        <w:rPr>
          <w:rFonts w:eastAsia="Times New Roman" w:cs="Arial"/>
          <w:b/>
          <w:bCs/>
          <w:iCs/>
          <w:szCs w:val="20"/>
          <w:lang w:eastAsia="de-DE"/>
        </w:rPr>
        <w:t>n</w:t>
      </w:r>
      <w:r w:rsidR="00195FC2" w:rsidRPr="002A2E29">
        <w:rPr>
          <w:rFonts w:eastAsia="Times New Roman" w:cs="Arial"/>
          <w:b/>
          <w:bCs/>
          <w:iCs/>
          <w:szCs w:val="20"/>
          <w:lang w:eastAsia="de-DE"/>
        </w:rPr>
        <w:t xml:space="preserve"> Materialien sind medienbeständig und damit für gängige</w:t>
      </w:r>
      <w:r w:rsidR="002A2E29">
        <w:rPr>
          <w:rFonts w:eastAsia="Times New Roman" w:cs="Arial"/>
          <w:b/>
          <w:bCs/>
          <w:iCs/>
          <w:szCs w:val="20"/>
          <w:lang w:eastAsia="de-DE"/>
        </w:rPr>
        <w:t xml:space="preserve"> </w:t>
      </w:r>
      <w:r w:rsidR="00195FC2" w:rsidRPr="002A2E29">
        <w:rPr>
          <w:rFonts w:eastAsia="Times New Roman" w:cs="Arial"/>
          <w:b/>
          <w:bCs/>
          <w:iCs/>
          <w:szCs w:val="20"/>
          <w:lang w:eastAsia="de-DE"/>
        </w:rPr>
        <w:t>Dekontaminationsprozesse geeignet.</w:t>
      </w:r>
    </w:p>
    <w:p w:rsidR="002A2E29" w:rsidRPr="00724A6A" w:rsidRDefault="002A2E29" w:rsidP="002A2E29">
      <w:pPr>
        <w:spacing w:after="240"/>
        <w:rPr>
          <w:rFonts w:cs="Arial"/>
          <w:b/>
          <w:szCs w:val="20"/>
          <w:lang w:eastAsia="de-DE"/>
        </w:rPr>
      </w:pPr>
    </w:p>
    <w:p w:rsidR="00EB7F84" w:rsidRDefault="00A025A5" w:rsidP="00A025A5">
      <w:pPr>
        <w:autoSpaceDE w:val="0"/>
        <w:autoSpaceDN w:val="0"/>
        <w:adjustRightInd w:val="0"/>
        <w:spacing w:line="240" w:lineRule="auto"/>
        <w:rPr>
          <w:rFonts w:eastAsia="Times New Roman" w:cs="Arial"/>
          <w:szCs w:val="20"/>
          <w:lang w:eastAsia="de-DE"/>
        </w:rPr>
      </w:pPr>
      <w:r w:rsidRPr="00A025A5">
        <w:rPr>
          <w:rFonts w:eastAsia="Times New Roman" w:cs="Arial"/>
          <w:szCs w:val="20"/>
          <w:lang w:eastAsia="de-DE"/>
        </w:rPr>
        <w:t>In der Pharmaindustrie</w:t>
      </w:r>
      <w:r w:rsidR="009B41A3">
        <w:rPr>
          <w:rFonts w:eastAsia="Times New Roman" w:cs="Arial"/>
          <w:szCs w:val="20"/>
          <w:lang w:eastAsia="de-DE"/>
        </w:rPr>
        <w:t xml:space="preserve"> werden</w:t>
      </w:r>
      <w:r w:rsidR="00A42EC3">
        <w:rPr>
          <w:rFonts w:eastAsia="Times New Roman" w:cs="Arial"/>
          <w:szCs w:val="20"/>
          <w:lang w:eastAsia="de-DE"/>
        </w:rPr>
        <w:t xml:space="preserve"> </w:t>
      </w:r>
      <w:r w:rsidRPr="00A025A5">
        <w:rPr>
          <w:rFonts w:eastAsia="Times New Roman" w:cs="Arial"/>
          <w:szCs w:val="20"/>
          <w:lang w:eastAsia="de-DE"/>
        </w:rPr>
        <w:t>extrem aggressive Reinigungs- und Dekontaminationsmittel</w:t>
      </w:r>
      <w:r>
        <w:rPr>
          <w:rFonts w:eastAsia="Times New Roman" w:cs="Arial"/>
          <w:szCs w:val="20"/>
          <w:lang w:eastAsia="de-DE"/>
        </w:rPr>
        <w:t xml:space="preserve"> </w:t>
      </w:r>
      <w:r w:rsidR="009B41A3">
        <w:rPr>
          <w:rFonts w:eastAsia="Times New Roman" w:cs="Arial"/>
          <w:szCs w:val="20"/>
          <w:lang w:eastAsia="de-DE"/>
        </w:rPr>
        <w:t xml:space="preserve">verwendet, weshalb </w:t>
      </w:r>
      <w:r w:rsidRPr="00A025A5">
        <w:rPr>
          <w:rFonts w:eastAsia="Times New Roman" w:cs="Arial"/>
          <w:szCs w:val="20"/>
          <w:lang w:eastAsia="de-DE"/>
        </w:rPr>
        <w:t>Produkte mit höchster Beständigkeit und Robustheit</w:t>
      </w:r>
      <w:r w:rsidR="009B41A3">
        <w:rPr>
          <w:rFonts w:eastAsia="Times New Roman" w:cs="Arial"/>
          <w:szCs w:val="20"/>
          <w:lang w:eastAsia="de-DE"/>
        </w:rPr>
        <w:t xml:space="preserve"> erforderlich sind</w:t>
      </w:r>
      <w:r w:rsidRPr="00A025A5">
        <w:rPr>
          <w:rFonts w:eastAsia="Times New Roman" w:cs="Arial"/>
          <w:szCs w:val="20"/>
          <w:lang w:eastAsia="de-DE"/>
        </w:rPr>
        <w:t>.</w:t>
      </w:r>
      <w:r>
        <w:rPr>
          <w:rFonts w:eastAsia="Times New Roman" w:cs="Arial"/>
          <w:szCs w:val="20"/>
          <w:lang w:eastAsia="de-DE"/>
        </w:rPr>
        <w:t xml:space="preserve"> </w:t>
      </w:r>
      <w:r w:rsidR="00EB7F84" w:rsidRPr="00EB7F84">
        <w:rPr>
          <w:rFonts w:eastAsia="Times New Roman" w:cs="Arial"/>
          <w:szCs w:val="20"/>
          <w:lang w:eastAsia="de-DE"/>
        </w:rPr>
        <w:t xml:space="preserve">TWINOX4 </w:t>
      </w:r>
      <w:r w:rsidR="009B41A3">
        <w:rPr>
          <w:rFonts w:eastAsia="Times New Roman" w:cs="Arial"/>
          <w:szCs w:val="20"/>
          <w:lang w:eastAsia="de-DE"/>
        </w:rPr>
        <w:t>erfüllt diese Kriterien. D</w:t>
      </w:r>
      <w:r w:rsidR="00EB7F84" w:rsidRPr="00EB7F84">
        <w:rPr>
          <w:rFonts w:eastAsia="Times New Roman" w:cs="Arial"/>
          <w:szCs w:val="20"/>
          <w:lang w:eastAsia="de-DE"/>
        </w:rPr>
        <w:t xml:space="preserve">ank des </w:t>
      </w:r>
      <w:r w:rsidR="009B41A3">
        <w:rPr>
          <w:rFonts w:eastAsia="Times New Roman" w:cs="Arial"/>
          <w:szCs w:val="20"/>
          <w:lang w:eastAsia="de-DE"/>
        </w:rPr>
        <w:t>Gehäused</w:t>
      </w:r>
      <w:r w:rsidR="00EB7F84" w:rsidRPr="00EB7F84">
        <w:rPr>
          <w:rFonts w:eastAsia="Times New Roman" w:cs="Arial"/>
          <w:szCs w:val="20"/>
          <w:lang w:eastAsia="de-DE"/>
        </w:rPr>
        <w:t xml:space="preserve">esigns </w:t>
      </w:r>
      <w:r w:rsidR="009B41A3">
        <w:rPr>
          <w:rFonts w:eastAsia="Times New Roman" w:cs="Arial"/>
          <w:szCs w:val="20"/>
          <w:lang w:eastAsia="de-DE"/>
        </w:rPr>
        <w:t xml:space="preserve">lässt er sich </w:t>
      </w:r>
      <w:r w:rsidR="001A1223">
        <w:rPr>
          <w:rFonts w:eastAsia="Times New Roman" w:cs="Arial"/>
          <w:szCs w:val="20"/>
          <w:lang w:eastAsia="de-DE"/>
        </w:rPr>
        <w:t xml:space="preserve">unauffällig in </w:t>
      </w:r>
      <w:r w:rsidR="00EB7F84" w:rsidRPr="00EB7F84">
        <w:rPr>
          <w:rFonts w:eastAsia="Times New Roman" w:cs="Arial"/>
          <w:szCs w:val="20"/>
          <w:lang w:eastAsia="de-DE"/>
        </w:rPr>
        <w:t>Maschine</w:t>
      </w:r>
      <w:r w:rsidR="001A1223">
        <w:rPr>
          <w:rFonts w:eastAsia="Times New Roman" w:cs="Arial"/>
          <w:szCs w:val="20"/>
          <w:lang w:eastAsia="de-DE"/>
        </w:rPr>
        <w:t>n</w:t>
      </w:r>
      <w:r w:rsidR="00EB7F84" w:rsidRPr="00EB7F84">
        <w:rPr>
          <w:rFonts w:eastAsia="Times New Roman" w:cs="Arial"/>
          <w:szCs w:val="20"/>
          <w:lang w:eastAsia="de-DE"/>
        </w:rPr>
        <w:t xml:space="preserve"> oder</w:t>
      </w:r>
      <w:r w:rsidR="00EB7F84">
        <w:rPr>
          <w:rFonts w:eastAsia="Times New Roman" w:cs="Arial"/>
          <w:szCs w:val="20"/>
          <w:lang w:eastAsia="de-DE"/>
        </w:rPr>
        <w:t xml:space="preserve"> </w:t>
      </w:r>
      <w:r w:rsidR="00EB7F84" w:rsidRPr="00EB7F84">
        <w:rPr>
          <w:rFonts w:eastAsia="Times New Roman" w:cs="Arial"/>
          <w:szCs w:val="20"/>
          <w:lang w:eastAsia="de-DE"/>
        </w:rPr>
        <w:t>Anlage</w:t>
      </w:r>
      <w:r w:rsidR="001A1223">
        <w:rPr>
          <w:rFonts w:eastAsia="Times New Roman" w:cs="Arial"/>
          <w:szCs w:val="20"/>
          <w:lang w:eastAsia="de-DE"/>
        </w:rPr>
        <w:t>n</w:t>
      </w:r>
      <w:r w:rsidR="00EB7F84" w:rsidRPr="00EB7F84">
        <w:rPr>
          <w:rFonts w:eastAsia="Times New Roman" w:cs="Arial"/>
          <w:szCs w:val="20"/>
          <w:lang w:eastAsia="de-DE"/>
        </w:rPr>
        <w:t xml:space="preserve"> integrieren. Der Sicherheits-Lichtvorhang</w:t>
      </w:r>
      <w:r w:rsidR="00EB7F84">
        <w:rPr>
          <w:rFonts w:eastAsia="Times New Roman" w:cs="Arial"/>
          <w:szCs w:val="20"/>
          <w:lang w:eastAsia="de-DE"/>
        </w:rPr>
        <w:t xml:space="preserve"> </w:t>
      </w:r>
      <w:r w:rsidR="001A1223">
        <w:rPr>
          <w:rFonts w:eastAsia="Times New Roman" w:cs="Arial"/>
          <w:szCs w:val="20"/>
          <w:lang w:eastAsia="de-DE"/>
        </w:rPr>
        <w:t>punktet mit einem</w:t>
      </w:r>
      <w:r w:rsidR="00EB7F84" w:rsidRPr="00EB7F84">
        <w:rPr>
          <w:rFonts w:eastAsia="Times New Roman" w:cs="Arial"/>
          <w:szCs w:val="20"/>
          <w:lang w:eastAsia="de-DE"/>
        </w:rPr>
        <w:t xml:space="preserve"> durchgehend</w:t>
      </w:r>
      <w:r w:rsidR="00EB7F84">
        <w:rPr>
          <w:rFonts w:eastAsia="Times New Roman" w:cs="Arial"/>
          <w:szCs w:val="20"/>
          <w:lang w:eastAsia="de-DE"/>
        </w:rPr>
        <w:t xml:space="preserve"> </w:t>
      </w:r>
      <w:r w:rsidR="00EB7F84" w:rsidRPr="00EB7F84">
        <w:rPr>
          <w:rFonts w:eastAsia="Times New Roman" w:cs="Arial"/>
          <w:szCs w:val="20"/>
          <w:lang w:eastAsia="de-DE"/>
        </w:rPr>
        <w:t>hochauflösende</w:t>
      </w:r>
      <w:r w:rsidR="001A1223">
        <w:rPr>
          <w:rFonts w:eastAsia="Times New Roman" w:cs="Arial"/>
          <w:szCs w:val="20"/>
          <w:lang w:eastAsia="de-DE"/>
        </w:rPr>
        <w:t>n</w:t>
      </w:r>
      <w:r w:rsidR="00EB7F84" w:rsidRPr="00EB7F84">
        <w:rPr>
          <w:rFonts w:eastAsia="Times New Roman" w:cs="Arial"/>
          <w:szCs w:val="20"/>
          <w:lang w:eastAsia="de-DE"/>
        </w:rPr>
        <w:t xml:space="preserve"> Schutzfeld und sorgt</w:t>
      </w:r>
      <w:r w:rsidR="00EB7F84">
        <w:rPr>
          <w:rFonts w:eastAsia="Times New Roman" w:cs="Arial"/>
          <w:szCs w:val="20"/>
          <w:lang w:eastAsia="de-DE"/>
        </w:rPr>
        <w:t xml:space="preserve"> </w:t>
      </w:r>
      <w:r w:rsidR="00EB7F84" w:rsidRPr="00EB7F84">
        <w:rPr>
          <w:rFonts w:eastAsia="Times New Roman" w:cs="Arial"/>
          <w:szCs w:val="20"/>
          <w:lang w:eastAsia="de-DE"/>
        </w:rPr>
        <w:t>damit für maximale Sicherheit und hohe</w:t>
      </w:r>
      <w:r w:rsidR="00EB7F84">
        <w:rPr>
          <w:rFonts w:eastAsia="Times New Roman" w:cs="Arial"/>
          <w:szCs w:val="20"/>
          <w:lang w:eastAsia="de-DE"/>
        </w:rPr>
        <w:t xml:space="preserve"> </w:t>
      </w:r>
      <w:r w:rsidR="00EB7F84" w:rsidRPr="00EB7F84">
        <w:rPr>
          <w:rFonts w:eastAsia="Times New Roman" w:cs="Arial"/>
          <w:szCs w:val="20"/>
          <w:lang w:eastAsia="de-DE"/>
        </w:rPr>
        <w:t xml:space="preserve">Verfügbarkeit </w:t>
      </w:r>
      <w:r w:rsidR="001A1223">
        <w:rPr>
          <w:rFonts w:eastAsia="Times New Roman" w:cs="Arial"/>
          <w:szCs w:val="20"/>
          <w:lang w:eastAsia="de-DE"/>
        </w:rPr>
        <w:t>von</w:t>
      </w:r>
      <w:r w:rsidR="00EB7F84" w:rsidRPr="00EB7F84">
        <w:rPr>
          <w:rFonts w:eastAsia="Times New Roman" w:cs="Arial"/>
          <w:szCs w:val="20"/>
          <w:lang w:eastAsia="de-DE"/>
        </w:rPr>
        <w:t xml:space="preserve"> Maschine oder Anlage. </w:t>
      </w:r>
    </w:p>
    <w:p w:rsidR="00A025A5" w:rsidRDefault="00A025A5" w:rsidP="00A025A5">
      <w:pPr>
        <w:autoSpaceDE w:val="0"/>
        <w:autoSpaceDN w:val="0"/>
        <w:adjustRightInd w:val="0"/>
        <w:spacing w:line="240" w:lineRule="auto"/>
        <w:rPr>
          <w:rFonts w:eastAsia="Times New Roman" w:cs="Arial"/>
          <w:szCs w:val="20"/>
          <w:lang w:eastAsia="de-DE"/>
        </w:rPr>
      </w:pPr>
    </w:p>
    <w:p w:rsidR="002A2E29" w:rsidRPr="00EB7F84" w:rsidRDefault="002A2E29" w:rsidP="00A025A5">
      <w:pPr>
        <w:autoSpaceDE w:val="0"/>
        <w:autoSpaceDN w:val="0"/>
        <w:adjustRightInd w:val="0"/>
        <w:spacing w:line="240" w:lineRule="auto"/>
        <w:rPr>
          <w:rFonts w:eastAsia="Times New Roman" w:cs="Arial"/>
          <w:szCs w:val="20"/>
          <w:lang w:eastAsia="de-DE"/>
        </w:rPr>
      </w:pPr>
    </w:p>
    <w:p w:rsidR="00473DFE" w:rsidRPr="00724A6A" w:rsidRDefault="00473DFE" w:rsidP="00473DFE">
      <w:pPr>
        <w:spacing w:after="240"/>
        <w:rPr>
          <w:rFonts w:cs="Arial"/>
          <w:b/>
          <w:szCs w:val="20"/>
          <w:lang w:eastAsia="de-DE"/>
        </w:rPr>
      </w:pPr>
      <w:r>
        <w:rPr>
          <w:rFonts w:cs="Arial"/>
          <w:b/>
          <w:szCs w:val="20"/>
          <w:lang w:eastAsia="de-DE"/>
        </w:rPr>
        <w:t>Medien</w:t>
      </w:r>
      <w:r w:rsidRPr="00724A6A">
        <w:rPr>
          <w:rFonts w:cs="Arial"/>
          <w:b/>
          <w:szCs w:val="20"/>
          <w:lang w:eastAsia="de-DE"/>
        </w:rPr>
        <w:t>beständig und reinigungsfreundlich</w:t>
      </w:r>
    </w:p>
    <w:p w:rsidR="006D72F3" w:rsidRDefault="001B7C75" w:rsidP="00E1231C">
      <w:pPr>
        <w:autoSpaceDE w:val="0"/>
        <w:autoSpaceDN w:val="0"/>
        <w:adjustRightInd w:val="0"/>
        <w:spacing w:line="240" w:lineRule="auto"/>
        <w:rPr>
          <w:rFonts w:eastAsia="Times New Roman" w:cs="Arial"/>
          <w:szCs w:val="20"/>
          <w:lang w:eastAsia="de-DE"/>
        </w:rPr>
      </w:pPr>
      <w:r>
        <w:rPr>
          <w:rFonts w:cs="Arial"/>
          <w:szCs w:val="20"/>
          <w:lang w:eastAsia="de-DE"/>
        </w:rPr>
        <w:t>Das Gehäuse des Sicherheits-Lichtvorhangs ist – ebenso wie die Halterungen und die Endkappen – in Edelstahl 1.4404 / 316L ausgeführt.</w:t>
      </w:r>
      <w:r w:rsidRPr="00473DFE">
        <w:rPr>
          <w:rFonts w:eastAsia="Times New Roman" w:cs="Arial"/>
          <w:szCs w:val="20"/>
          <w:lang w:eastAsia="de-DE"/>
        </w:rPr>
        <w:t xml:space="preserve"> </w:t>
      </w:r>
      <w:r w:rsidR="00473DFE" w:rsidRPr="00473DFE">
        <w:rPr>
          <w:rFonts w:eastAsia="Times New Roman" w:cs="Arial"/>
          <w:szCs w:val="20"/>
          <w:lang w:eastAsia="de-DE"/>
        </w:rPr>
        <w:t xml:space="preserve">Aggressive </w:t>
      </w:r>
      <w:r w:rsidR="00473DFE" w:rsidRPr="005E7108">
        <w:rPr>
          <w:rFonts w:cs="Arial"/>
          <w:szCs w:val="20"/>
          <w:lang w:eastAsia="de-DE"/>
        </w:rPr>
        <w:t>Reinigungs- und Desinfektionsmittel wie Wasserstoffperoxid erfordern medienbeständige Materialien – ein Kriterium, das das Edelstahlgehäuse des TWINOX4 erfüllt</w:t>
      </w:r>
      <w:r w:rsidR="006D72F3">
        <w:rPr>
          <w:rFonts w:cs="Arial"/>
          <w:szCs w:val="20"/>
          <w:lang w:eastAsia="de-DE"/>
        </w:rPr>
        <w:t xml:space="preserve"> </w:t>
      </w:r>
      <w:r w:rsidR="006D72F3" w:rsidRPr="00BB238A">
        <w:rPr>
          <w:rFonts w:cs="Arial"/>
          <w:szCs w:val="20"/>
          <w:lang w:eastAsia="de-DE"/>
        </w:rPr>
        <w:t>und somit für gängige Dekontaminationsprozesse geeignet ist</w:t>
      </w:r>
      <w:r w:rsidR="00076536">
        <w:rPr>
          <w:rFonts w:cs="Arial"/>
          <w:szCs w:val="20"/>
          <w:lang w:eastAsia="de-DE"/>
        </w:rPr>
        <w:t xml:space="preserve">. </w:t>
      </w:r>
      <w:r w:rsidR="00E1231C" w:rsidRPr="00BB238A">
        <w:rPr>
          <w:rFonts w:cs="Arial"/>
          <w:szCs w:val="20"/>
          <w:lang w:eastAsia="de-DE"/>
        </w:rPr>
        <w:t xml:space="preserve">Dank des leicht zu reinigenden Gehäuses lassen sich alle Rückstände schnell und effizient vom Lichtvorhang entfernen. </w:t>
      </w:r>
      <w:r w:rsidR="006D72F3">
        <w:rPr>
          <w:rFonts w:cs="Arial"/>
          <w:szCs w:val="20"/>
          <w:lang w:eastAsia="de-DE"/>
        </w:rPr>
        <w:t xml:space="preserve">Mit </w:t>
      </w:r>
      <w:proofErr w:type="spellStart"/>
      <w:r w:rsidR="006D72F3">
        <w:rPr>
          <w:rFonts w:cs="Arial"/>
          <w:szCs w:val="20"/>
          <w:lang w:eastAsia="de-DE"/>
        </w:rPr>
        <w:t>v</w:t>
      </w:r>
      <w:r w:rsidR="006D72F3" w:rsidRPr="00BB238A">
        <w:rPr>
          <w:rFonts w:cs="Arial"/>
          <w:szCs w:val="20"/>
          <w:lang w:eastAsia="de-DE"/>
        </w:rPr>
        <w:t>er</w:t>
      </w:r>
      <w:r w:rsidR="00195FC2">
        <w:rPr>
          <w:rFonts w:cs="Arial"/>
          <w:szCs w:val="20"/>
          <w:lang w:eastAsia="de-DE"/>
        </w:rPr>
        <w:t>r</w:t>
      </w:r>
      <w:r w:rsidR="006D72F3" w:rsidRPr="00BB238A">
        <w:rPr>
          <w:rFonts w:cs="Arial"/>
          <w:szCs w:val="20"/>
          <w:lang w:eastAsia="de-DE"/>
        </w:rPr>
        <w:t>undeten</w:t>
      </w:r>
      <w:proofErr w:type="spellEnd"/>
      <w:r w:rsidR="006D72F3" w:rsidRPr="00BB238A">
        <w:rPr>
          <w:rFonts w:cs="Arial"/>
          <w:szCs w:val="20"/>
          <w:lang w:eastAsia="de-DE"/>
        </w:rPr>
        <w:t xml:space="preserve"> Kanten und ohne </w:t>
      </w:r>
      <w:proofErr w:type="spellStart"/>
      <w:r w:rsidR="006D72F3" w:rsidRPr="00BB238A">
        <w:rPr>
          <w:rFonts w:cs="Arial"/>
          <w:szCs w:val="20"/>
          <w:lang w:eastAsia="de-DE"/>
        </w:rPr>
        <w:t>Hinterschnitte</w:t>
      </w:r>
      <w:proofErr w:type="spellEnd"/>
      <w:r w:rsidR="006D72F3" w:rsidRPr="00BB238A">
        <w:rPr>
          <w:rFonts w:cs="Arial"/>
          <w:szCs w:val="20"/>
          <w:lang w:eastAsia="de-DE"/>
        </w:rPr>
        <w:t xml:space="preserve"> </w:t>
      </w:r>
      <w:r w:rsidR="001A1223">
        <w:rPr>
          <w:rFonts w:cs="Arial"/>
          <w:szCs w:val="20"/>
          <w:lang w:eastAsia="de-DE"/>
        </w:rPr>
        <w:t>ist das</w:t>
      </w:r>
      <w:r w:rsidR="006D72F3" w:rsidRPr="00BB238A">
        <w:rPr>
          <w:rFonts w:cs="Arial"/>
          <w:szCs w:val="20"/>
          <w:lang w:eastAsia="de-DE"/>
        </w:rPr>
        <w:t xml:space="preserve"> Design speziell für den Einsatz in</w:t>
      </w:r>
      <w:r w:rsidR="006D72F3" w:rsidRPr="005E7108">
        <w:rPr>
          <w:rFonts w:eastAsia="Times New Roman" w:cs="Arial"/>
          <w:szCs w:val="20"/>
          <w:lang w:eastAsia="de-DE"/>
        </w:rPr>
        <w:t xml:space="preserve"> Bereichen mit hohen Hygieneanforde</w:t>
      </w:r>
      <w:r w:rsidR="001A1223">
        <w:rPr>
          <w:rFonts w:eastAsia="Times New Roman" w:cs="Arial"/>
          <w:szCs w:val="20"/>
          <w:lang w:eastAsia="de-DE"/>
        </w:rPr>
        <w:t>rungen geeignet</w:t>
      </w:r>
      <w:r w:rsidR="006D72F3">
        <w:rPr>
          <w:rFonts w:eastAsia="Times New Roman" w:cs="Arial"/>
          <w:szCs w:val="20"/>
          <w:lang w:eastAsia="de-DE"/>
        </w:rPr>
        <w:t>.</w:t>
      </w:r>
      <w:r w:rsidR="00E1231C">
        <w:rPr>
          <w:rFonts w:eastAsia="Times New Roman" w:cs="Arial"/>
          <w:szCs w:val="20"/>
          <w:lang w:eastAsia="de-DE"/>
        </w:rPr>
        <w:t xml:space="preserve"> </w:t>
      </w:r>
    </w:p>
    <w:p w:rsidR="00473DFE" w:rsidRDefault="00473DFE" w:rsidP="00473DFE">
      <w:pPr>
        <w:autoSpaceDE w:val="0"/>
        <w:autoSpaceDN w:val="0"/>
        <w:adjustRightInd w:val="0"/>
        <w:spacing w:line="240" w:lineRule="auto"/>
        <w:rPr>
          <w:rFonts w:eastAsia="Times New Roman" w:cs="Arial"/>
          <w:szCs w:val="20"/>
          <w:lang w:eastAsia="de-DE"/>
        </w:rPr>
      </w:pPr>
    </w:p>
    <w:p w:rsidR="00473DFE" w:rsidRPr="00473DFE" w:rsidRDefault="00473DFE" w:rsidP="00473DFE">
      <w:pPr>
        <w:autoSpaceDE w:val="0"/>
        <w:autoSpaceDN w:val="0"/>
        <w:adjustRightInd w:val="0"/>
        <w:spacing w:line="240" w:lineRule="auto"/>
        <w:rPr>
          <w:rFonts w:eastAsia="Times New Roman" w:cs="Arial"/>
          <w:szCs w:val="20"/>
          <w:lang w:eastAsia="de-DE"/>
        </w:rPr>
      </w:pPr>
    </w:p>
    <w:p w:rsidR="00473DFE" w:rsidRPr="00643EA7" w:rsidRDefault="00473DFE" w:rsidP="00473DFE">
      <w:pPr>
        <w:spacing w:after="240"/>
        <w:rPr>
          <w:rFonts w:cs="Arial"/>
          <w:b/>
          <w:szCs w:val="20"/>
          <w:lang w:eastAsia="de-DE"/>
        </w:rPr>
      </w:pPr>
      <w:r w:rsidRPr="00643EA7">
        <w:rPr>
          <w:rFonts w:cs="Arial"/>
          <w:b/>
          <w:szCs w:val="20"/>
          <w:lang w:eastAsia="de-DE"/>
        </w:rPr>
        <w:t>Sichere Maschinenbedienung, schnelle Vor-Ort-Diagnose</w:t>
      </w:r>
    </w:p>
    <w:p w:rsidR="00473DFE" w:rsidRPr="00643EA7" w:rsidRDefault="001A1223" w:rsidP="00473DFE">
      <w:pPr>
        <w:spacing w:after="240"/>
        <w:rPr>
          <w:rFonts w:cs="Arial"/>
          <w:szCs w:val="20"/>
          <w:lang w:eastAsia="de-DE"/>
        </w:rPr>
      </w:pPr>
      <w:r w:rsidRPr="00724A6A">
        <w:rPr>
          <w:rFonts w:cs="Arial"/>
          <w:color w:val="000000"/>
          <w:szCs w:val="20"/>
        </w:rPr>
        <w:t xml:space="preserve">Mehrfarb-LEDs </w:t>
      </w:r>
      <w:r>
        <w:rPr>
          <w:rFonts w:cs="Arial"/>
          <w:color w:val="000000"/>
          <w:szCs w:val="20"/>
        </w:rPr>
        <w:t xml:space="preserve">zeigen die </w:t>
      </w:r>
      <w:r w:rsidRPr="00724A6A">
        <w:rPr>
          <w:rFonts w:cs="Arial"/>
          <w:color w:val="000000"/>
          <w:szCs w:val="20"/>
        </w:rPr>
        <w:t xml:space="preserve">Betriebsbereitschaft und den Betriebszustand </w:t>
      </w:r>
      <w:r>
        <w:rPr>
          <w:rFonts w:cs="Arial"/>
          <w:color w:val="000000"/>
          <w:szCs w:val="20"/>
        </w:rPr>
        <w:t>des</w:t>
      </w:r>
      <w:r w:rsidR="00473DFE" w:rsidRPr="00724A6A">
        <w:rPr>
          <w:rFonts w:cs="Arial"/>
          <w:szCs w:val="20"/>
          <w:lang w:eastAsia="de-DE"/>
        </w:rPr>
        <w:t xml:space="preserve"> Sicherheits-</w:t>
      </w:r>
      <w:r w:rsidR="00473DFE">
        <w:rPr>
          <w:rFonts w:cs="Arial"/>
          <w:szCs w:val="20"/>
          <w:lang w:eastAsia="de-DE"/>
        </w:rPr>
        <w:t>Lichtvorhang</w:t>
      </w:r>
      <w:r>
        <w:rPr>
          <w:rFonts w:cs="Arial"/>
          <w:szCs w:val="20"/>
          <w:lang w:eastAsia="de-DE"/>
        </w:rPr>
        <w:t xml:space="preserve">s </w:t>
      </w:r>
      <w:r w:rsidR="00473DFE" w:rsidRPr="00724A6A">
        <w:rPr>
          <w:rFonts w:cs="Arial"/>
          <w:szCs w:val="20"/>
          <w:lang w:eastAsia="de-DE"/>
        </w:rPr>
        <w:t>T</w:t>
      </w:r>
      <w:r w:rsidR="00473DFE">
        <w:rPr>
          <w:rFonts w:cs="Arial"/>
          <w:szCs w:val="20"/>
          <w:lang w:eastAsia="de-DE"/>
        </w:rPr>
        <w:t>WINOX4</w:t>
      </w:r>
      <w:r w:rsidR="00473DFE" w:rsidRPr="00724A6A">
        <w:rPr>
          <w:rFonts w:cs="Arial"/>
          <w:color w:val="000000"/>
          <w:szCs w:val="20"/>
        </w:rPr>
        <w:t xml:space="preserve"> </w:t>
      </w:r>
      <w:r w:rsidR="00473DFE">
        <w:rPr>
          <w:rFonts w:cs="Arial"/>
          <w:color w:val="000000"/>
          <w:szCs w:val="20"/>
        </w:rPr>
        <w:t xml:space="preserve">über </w:t>
      </w:r>
      <w:r w:rsidR="00473DFE" w:rsidRPr="00724A6A">
        <w:rPr>
          <w:rFonts w:cs="Arial"/>
          <w:color w:val="000000"/>
          <w:szCs w:val="20"/>
        </w:rPr>
        <w:t xml:space="preserve">die gesamte Schutzfeldhöhe. Die Statusanzeigen leuchten </w:t>
      </w:r>
      <w:r>
        <w:rPr>
          <w:rFonts w:cs="Arial"/>
          <w:color w:val="000000"/>
          <w:szCs w:val="20"/>
        </w:rPr>
        <w:t xml:space="preserve">bei intaktem Schutzfeld grün und </w:t>
      </w:r>
      <w:r w:rsidR="00B476C3">
        <w:rPr>
          <w:rFonts w:cs="Arial"/>
          <w:color w:val="000000"/>
          <w:szCs w:val="20"/>
        </w:rPr>
        <w:t>zeigt</w:t>
      </w:r>
      <w:r>
        <w:rPr>
          <w:rFonts w:cs="Arial"/>
          <w:color w:val="000000"/>
          <w:szCs w:val="20"/>
        </w:rPr>
        <w:t xml:space="preserve"> dem </w:t>
      </w:r>
      <w:r w:rsidR="00473DFE" w:rsidRPr="00724A6A">
        <w:rPr>
          <w:rFonts w:cs="Arial"/>
          <w:color w:val="000000"/>
          <w:szCs w:val="20"/>
        </w:rPr>
        <w:t>Bediener</w:t>
      </w:r>
      <w:r>
        <w:rPr>
          <w:rFonts w:cs="Arial"/>
          <w:color w:val="000000"/>
          <w:szCs w:val="20"/>
        </w:rPr>
        <w:t xml:space="preserve"> die aktive</w:t>
      </w:r>
      <w:r w:rsidR="00473DFE" w:rsidRPr="00724A6A">
        <w:rPr>
          <w:rFonts w:cs="Arial"/>
          <w:color w:val="000000"/>
          <w:szCs w:val="20"/>
        </w:rPr>
        <w:t xml:space="preserve"> Schutzfunktion</w:t>
      </w:r>
      <w:r>
        <w:rPr>
          <w:rFonts w:cs="Arial"/>
          <w:color w:val="000000"/>
          <w:szCs w:val="20"/>
        </w:rPr>
        <w:t>,</w:t>
      </w:r>
      <w:r w:rsidR="00473DFE" w:rsidRPr="00724A6A">
        <w:rPr>
          <w:rFonts w:cs="Arial"/>
          <w:color w:val="000000"/>
          <w:szCs w:val="20"/>
        </w:rPr>
        <w:t xml:space="preserve"> bevor er mit den Händen in den gefahrbringenden Bereich eingreift. Erfolgt </w:t>
      </w:r>
      <w:r w:rsidR="00B476C3">
        <w:rPr>
          <w:rFonts w:cs="Arial"/>
          <w:color w:val="000000"/>
          <w:szCs w:val="20"/>
        </w:rPr>
        <w:t>ein</w:t>
      </w:r>
      <w:r w:rsidR="00473DFE" w:rsidRPr="00724A6A">
        <w:rPr>
          <w:rFonts w:cs="Arial"/>
          <w:color w:val="000000"/>
          <w:szCs w:val="20"/>
        </w:rPr>
        <w:t xml:space="preserve"> Eingriff bei laufender Maschine, wird </w:t>
      </w:r>
      <w:r w:rsidR="00473DFE">
        <w:rPr>
          <w:rFonts w:cs="Arial"/>
          <w:color w:val="000000"/>
          <w:szCs w:val="20"/>
        </w:rPr>
        <w:t>dies vom TWINOX4</w:t>
      </w:r>
      <w:r w:rsidR="00473DFE" w:rsidRPr="00724A6A">
        <w:rPr>
          <w:rFonts w:cs="Arial"/>
          <w:color w:val="000000"/>
          <w:szCs w:val="20"/>
        </w:rPr>
        <w:t xml:space="preserve"> erkannt und die Ma</w:t>
      </w:r>
      <w:r w:rsidR="00473DFE">
        <w:rPr>
          <w:rFonts w:cs="Arial"/>
          <w:color w:val="000000"/>
          <w:szCs w:val="20"/>
        </w:rPr>
        <w:t>s</w:t>
      </w:r>
      <w:r w:rsidR="00473DFE" w:rsidRPr="00724A6A">
        <w:rPr>
          <w:rFonts w:cs="Arial"/>
          <w:color w:val="000000"/>
          <w:szCs w:val="20"/>
        </w:rPr>
        <w:t xml:space="preserve">chine gestoppt. </w:t>
      </w:r>
      <w:r w:rsidR="00473DFE">
        <w:rPr>
          <w:rFonts w:cs="Arial"/>
          <w:color w:val="000000"/>
          <w:szCs w:val="20"/>
        </w:rPr>
        <w:t>Die LED-Statusanzeigen ermöglichen zudem jederzeit eine schnelle Vor-Ort-Diagnose der berührungslos wirkenden Schutzeinrichtung.</w:t>
      </w:r>
    </w:p>
    <w:p w:rsidR="00A025A5" w:rsidRDefault="00A025A5">
      <w:pPr>
        <w:spacing w:line="240" w:lineRule="auto"/>
        <w:rPr>
          <w:rFonts w:cs="Arial"/>
          <w:b/>
          <w:szCs w:val="20"/>
          <w:lang w:eastAsia="de-DE"/>
        </w:rPr>
      </w:pPr>
      <w:r>
        <w:rPr>
          <w:rFonts w:cs="Arial"/>
          <w:b/>
          <w:szCs w:val="20"/>
          <w:lang w:eastAsia="de-DE"/>
        </w:rPr>
        <w:br w:type="page"/>
      </w:r>
    </w:p>
    <w:p w:rsidR="00473DFE" w:rsidRPr="00643EA7" w:rsidRDefault="00473DFE" w:rsidP="00473DFE">
      <w:pPr>
        <w:spacing w:after="240"/>
        <w:rPr>
          <w:rFonts w:cs="Arial"/>
          <w:b/>
          <w:szCs w:val="20"/>
          <w:lang w:eastAsia="de-DE"/>
        </w:rPr>
      </w:pPr>
      <w:r w:rsidRPr="00643EA7">
        <w:rPr>
          <w:rFonts w:cs="Arial"/>
          <w:b/>
          <w:szCs w:val="20"/>
          <w:lang w:eastAsia="de-DE"/>
        </w:rPr>
        <w:lastRenderedPageBreak/>
        <w:t>Hohe Integrationsfreundlichkeit</w:t>
      </w:r>
    </w:p>
    <w:p w:rsidR="00473DFE" w:rsidRPr="005F43E0" w:rsidRDefault="00473DFE" w:rsidP="00473DFE">
      <w:pPr>
        <w:spacing w:after="240"/>
        <w:rPr>
          <w:rFonts w:cs="Arial"/>
          <w:color w:val="000000"/>
          <w:szCs w:val="20"/>
        </w:rPr>
      </w:pPr>
      <w:r w:rsidRPr="00643EA7">
        <w:rPr>
          <w:rFonts w:cs="Arial"/>
          <w:szCs w:val="20"/>
          <w:lang w:eastAsia="de-DE"/>
        </w:rPr>
        <w:t xml:space="preserve">Für eine besondere Integrationsfreundlichkeit </w:t>
      </w:r>
      <w:r>
        <w:rPr>
          <w:rFonts w:cs="Arial"/>
          <w:szCs w:val="20"/>
          <w:lang w:eastAsia="de-DE"/>
        </w:rPr>
        <w:t xml:space="preserve">des </w:t>
      </w:r>
      <w:r w:rsidRPr="00643EA7">
        <w:rPr>
          <w:rFonts w:cs="Arial"/>
          <w:szCs w:val="20"/>
          <w:lang w:eastAsia="de-DE"/>
        </w:rPr>
        <w:t>Sicherheits-</w:t>
      </w:r>
      <w:r>
        <w:rPr>
          <w:rFonts w:cs="Arial"/>
          <w:szCs w:val="20"/>
          <w:lang w:eastAsia="de-DE"/>
        </w:rPr>
        <w:t>Lichtvorhang</w:t>
      </w:r>
      <w:r w:rsidRPr="00643EA7">
        <w:rPr>
          <w:rFonts w:cs="Arial"/>
          <w:szCs w:val="20"/>
          <w:lang w:eastAsia="de-DE"/>
        </w:rPr>
        <w:t xml:space="preserve">s sorgt das </w:t>
      </w:r>
      <w:r>
        <w:rPr>
          <w:rFonts w:cs="Arial"/>
          <w:szCs w:val="20"/>
          <w:lang w:eastAsia="de-DE"/>
        </w:rPr>
        <w:t>Einheits-Stick-Konzept</w:t>
      </w:r>
      <w:r w:rsidRPr="00643EA7">
        <w:rPr>
          <w:rFonts w:cs="Arial"/>
          <w:szCs w:val="20"/>
          <w:lang w:eastAsia="de-DE"/>
        </w:rPr>
        <w:t xml:space="preserve">. Sender und Empfänger sind </w:t>
      </w:r>
      <w:r>
        <w:rPr>
          <w:rFonts w:cs="Arial"/>
          <w:szCs w:val="20"/>
          <w:lang w:eastAsia="de-DE"/>
        </w:rPr>
        <w:t xml:space="preserve">in </w:t>
      </w:r>
      <w:r w:rsidR="00B476C3">
        <w:rPr>
          <w:rFonts w:cs="Arial"/>
          <w:color w:val="000000"/>
          <w:szCs w:val="20"/>
        </w:rPr>
        <w:t xml:space="preserve">zwei identischen </w:t>
      </w:r>
      <w:proofErr w:type="spellStart"/>
      <w:r w:rsidRPr="00643EA7">
        <w:rPr>
          <w:rFonts w:cs="Arial"/>
          <w:color w:val="000000"/>
          <w:szCs w:val="20"/>
        </w:rPr>
        <w:t>Twin</w:t>
      </w:r>
      <w:proofErr w:type="spellEnd"/>
      <w:r w:rsidRPr="00643EA7">
        <w:rPr>
          <w:rFonts w:cs="Arial"/>
          <w:color w:val="000000"/>
          <w:szCs w:val="20"/>
        </w:rPr>
        <w:t>-Sticks gleicher Baugröße untergebracht. D</w:t>
      </w:r>
      <w:r>
        <w:rPr>
          <w:rFonts w:cs="Arial"/>
          <w:color w:val="000000"/>
          <w:szCs w:val="20"/>
        </w:rPr>
        <w:t>er</w:t>
      </w:r>
      <w:r w:rsidRPr="00643EA7">
        <w:rPr>
          <w:rFonts w:cs="Arial"/>
          <w:color w:val="000000"/>
          <w:szCs w:val="20"/>
        </w:rPr>
        <w:t xml:space="preserve"> sichere </w:t>
      </w:r>
      <w:r>
        <w:rPr>
          <w:rFonts w:cs="Arial"/>
          <w:color w:val="000000"/>
          <w:szCs w:val="20"/>
        </w:rPr>
        <w:t>Lichtvorhang</w:t>
      </w:r>
      <w:r w:rsidRPr="00643EA7">
        <w:rPr>
          <w:rFonts w:cs="Arial"/>
          <w:color w:val="000000"/>
          <w:szCs w:val="20"/>
        </w:rPr>
        <w:t xml:space="preserve"> entsteht durch eine um 180° verdrehte Montage von zwei </w:t>
      </w:r>
      <w:proofErr w:type="spellStart"/>
      <w:r w:rsidRPr="00643EA7">
        <w:rPr>
          <w:rFonts w:cs="Arial"/>
          <w:color w:val="000000"/>
          <w:szCs w:val="20"/>
        </w:rPr>
        <w:t>Twin</w:t>
      </w:r>
      <w:proofErr w:type="spellEnd"/>
      <w:r w:rsidRPr="00643EA7">
        <w:rPr>
          <w:rFonts w:cs="Arial"/>
          <w:color w:val="000000"/>
          <w:szCs w:val="20"/>
        </w:rPr>
        <w:t>-Gehäuse</w:t>
      </w:r>
      <w:r>
        <w:rPr>
          <w:rFonts w:cs="Arial"/>
          <w:color w:val="000000"/>
          <w:szCs w:val="20"/>
        </w:rPr>
        <w:t>n zueinander</w:t>
      </w:r>
      <w:r w:rsidRPr="00643EA7">
        <w:rPr>
          <w:rFonts w:cs="Arial"/>
          <w:color w:val="000000"/>
          <w:szCs w:val="20"/>
        </w:rPr>
        <w:t xml:space="preserve">, so dass sich </w:t>
      </w:r>
      <w:r>
        <w:rPr>
          <w:rFonts w:cs="Arial"/>
          <w:color w:val="000000"/>
          <w:szCs w:val="20"/>
        </w:rPr>
        <w:t xml:space="preserve">die </w:t>
      </w:r>
      <w:r w:rsidRPr="00643EA7">
        <w:rPr>
          <w:rFonts w:cs="Arial"/>
          <w:color w:val="000000"/>
          <w:szCs w:val="20"/>
        </w:rPr>
        <w:t>Sender</w:t>
      </w:r>
      <w:r>
        <w:rPr>
          <w:rFonts w:cs="Arial"/>
          <w:color w:val="000000"/>
          <w:szCs w:val="20"/>
        </w:rPr>
        <w:t>-</w:t>
      </w:r>
      <w:r w:rsidRPr="00643EA7">
        <w:rPr>
          <w:rFonts w:cs="Arial"/>
          <w:color w:val="000000"/>
          <w:szCs w:val="20"/>
        </w:rPr>
        <w:t xml:space="preserve"> und Empfänger</w:t>
      </w:r>
      <w:r>
        <w:rPr>
          <w:rFonts w:cs="Arial"/>
          <w:color w:val="000000"/>
          <w:szCs w:val="20"/>
        </w:rPr>
        <w:t>module jeweils</w:t>
      </w:r>
      <w:r w:rsidRPr="00643EA7">
        <w:rPr>
          <w:rFonts w:cs="Arial"/>
          <w:color w:val="000000"/>
          <w:szCs w:val="20"/>
        </w:rPr>
        <w:t xml:space="preserve"> gegenüber befinden. Montiert werden </w:t>
      </w:r>
      <w:r>
        <w:rPr>
          <w:rFonts w:cs="Arial"/>
          <w:color w:val="000000"/>
          <w:szCs w:val="20"/>
        </w:rPr>
        <w:t>die Sticks</w:t>
      </w:r>
      <w:r w:rsidRPr="00643EA7">
        <w:rPr>
          <w:rFonts w:cs="Arial"/>
          <w:color w:val="000000"/>
          <w:szCs w:val="20"/>
        </w:rPr>
        <w:t xml:space="preserve"> mit Hilfe von Edelstahl-Halterungen, deren integrierte Ausrichthilfe die schnelle Positionierung der Sender- und Empfängermodule zueinander unterstütz</w:t>
      </w:r>
      <w:r>
        <w:rPr>
          <w:rFonts w:cs="Arial"/>
          <w:color w:val="000000"/>
          <w:szCs w:val="20"/>
        </w:rPr>
        <w:t>t</w:t>
      </w:r>
      <w:r w:rsidRPr="00643EA7">
        <w:rPr>
          <w:rFonts w:cs="Arial"/>
          <w:color w:val="000000"/>
          <w:szCs w:val="20"/>
        </w:rPr>
        <w:t xml:space="preserve">. Je nach Maschinen- und Bediensituation kann das </w:t>
      </w:r>
      <w:r>
        <w:rPr>
          <w:rFonts w:cs="Arial"/>
          <w:color w:val="000000"/>
          <w:szCs w:val="20"/>
        </w:rPr>
        <w:t>TWINOX4</w:t>
      </w:r>
      <w:r w:rsidRPr="00643EA7">
        <w:rPr>
          <w:rFonts w:cs="Arial"/>
          <w:color w:val="000000"/>
          <w:szCs w:val="20"/>
        </w:rPr>
        <w:t xml:space="preserve"> sowohl in horizontaler als auch in vertikaler Einbaulage montiert werden. </w:t>
      </w:r>
      <w:r>
        <w:rPr>
          <w:rFonts w:cs="Arial"/>
          <w:color w:val="000000"/>
          <w:szCs w:val="20"/>
        </w:rPr>
        <w:t>Schließlich bietet das Konzept des Einheits-Sticks auch wirtschaftliche Vorteile: da nur noch eine Komponente beschafft, gelagert, verwaltet und als Ersatzteil vorgehalten werden muss, ermöglicht das TWINOX4 sowohl effizientere Bestellprozesse als auch Kosteneinsparungen durch eine reduzierte Lagerhaltung und Ersatzteilpflege</w:t>
      </w:r>
      <w:r w:rsidR="009B41A3">
        <w:rPr>
          <w:rFonts w:cs="Arial"/>
          <w:color w:val="000000"/>
          <w:szCs w:val="20"/>
        </w:rPr>
        <w:t>.</w:t>
      </w:r>
    </w:p>
    <w:p w:rsidR="00473DFE" w:rsidRPr="00643EA7" w:rsidRDefault="00473DFE" w:rsidP="00473DFE">
      <w:pPr>
        <w:spacing w:after="240" w:line="240" w:lineRule="exact"/>
        <w:rPr>
          <w:rFonts w:cs="Arial"/>
        </w:rPr>
      </w:pPr>
    </w:p>
    <w:p w:rsidR="00454E06" w:rsidRDefault="00454E06" w:rsidP="00473DFE">
      <w:pPr>
        <w:spacing w:after="240"/>
        <w:rPr>
          <w:rFonts w:cs="Arial"/>
        </w:rPr>
      </w:pPr>
      <w:r>
        <w:rPr>
          <w:rFonts w:cs="Arial"/>
          <w:b/>
        </w:rPr>
        <w:t xml:space="preserve">Bild: </w:t>
      </w:r>
      <w:r w:rsidRPr="00454E06">
        <w:rPr>
          <w:rFonts w:cs="Arial"/>
        </w:rPr>
        <w:t>SICK_TWINOX4_0079675</w:t>
      </w:r>
      <w:r w:rsidR="00473DFE" w:rsidRPr="00643EA7">
        <w:rPr>
          <w:rFonts w:cs="Arial"/>
        </w:rPr>
        <w:br/>
      </w:r>
    </w:p>
    <w:p w:rsidR="00473DFE" w:rsidRPr="00643EA7" w:rsidRDefault="00473DFE" w:rsidP="00473DFE">
      <w:pPr>
        <w:spacing w:after="240"/>
        <w:rPr>
          <w:rFonts w:cs="Arial"/>
        </w:rPr>
      </w:pPr>
      <w:r w:rsidRPr="00643EA7">
        <w:rPr>
          <w:rFonts w:cs="Arial"/>
        </w:rPr>
        <w:t>Das Sicherheits-</w:t>
      </w:r>
      <w:r>
        <w:rPr>
          <w:rFonts w:cs="Arial"/>
        </w:rPr>
        <w:t>Lichtvorhang</w:t>
      </w:r>
      <w:r w:rsidRPr="00643EA7">
        <w:rPr>
          <w:rFonts w:cs="Arial"/>
        </w:rPr>
        <w:t xml:space="preserve"> </w:t>
      </w:r>
      <w:r>
        <w:rPr>
          <w:rFonts w:cs="Arial"/>
        </w:rPr>
        <w:t>TWINOX4</w:t>
      </w:r>
      <w:r w:rsidRPr="00643EA7">
        <w:rPr>
          <w:rFonts w:cs="Arial"/>
        </w:rPr>
        <w:t xml:space="preserve"> von SICK wird zur Absicherung von Gefahrstellen an teilautomatisierten Arbeitsplätzen und Serviceöffnungen von </w:t>
      </w:r>
      <w:r>
        <w:t>aseptischen Abfüll- und Verschließmaschinen</w:t>
      </w:r>
      <w:r w:rsidRPr="00643EA7">
        <w:rPr>
          <w:rFonts w:cs="Arial"/>
        </w:rPr>
        <w:t xml:space="preserve"> für Pharma- und Kosmetikprodukten eingesetzt.</w:t>
      </w:r>
    </w:p>
    <w:p w:rsidR="00473DFE" w:rsidRPr="00643EA7" w:rsidRDefault="00473DFE" w:rsidP="00473DFE">
      <w:pPr>
        <w:pStyle w:val="Boilerplate"/>
        <w:spacing w:before="240"/>
      </w:pPr>
      <w:r w:rsidRPr="00643EA7">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p>
    <w:p w:rsidR="00473DFE" w:rsidRPr="00643EA7" w:rsidRDefault="00473DFE" w:rsidP="00473DFE">
      <w:pPr>
        <w:pStyle w:val="Boilerplate"/>
        <w:spacing w:before="240"/>
      </w:pPr>
      <w:r w:rsidRPr="00643EA7">
        <w:t xml:space="preserve">Weitere Informationen zu SICK erhalten Sie im Internet unter http://www.sick.com oder unter Telefon </w:t>
      </w:r>
      <w:r w:rsidRPr="00643EA7">
        <w:br/>
        <w:t>+49 7681 202-4183.</w:t>
      </w:r>
    </w:p>
    <w:p w:rsidR="00473DFE" w:rsidRPr="00643EA7" w:rsidRDefault="00473DFE" w:rsidP="00473DFE">
      <w:pPr>
        <w:pStyle w:val="Boilerplate"/>
      </w:pPr>
      <w:bookmarkStart w:id="0" w:name="_GoBack"/>
      <w:bookmarkEnd w:id="0"/>
    </w:p>
    <w:p w:rsidR="00D36503" w:rsidRPr="00D36503" w:rsidRDefault="00D36503" w:rsidP="00473DFE">
      <w:pPr>
        <w:suppressAutoHyphens/>
        <w:spacing w:after="240" w:line="240" w:lineRule="exact"/>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08" w:rsidRDefault="00056D08" w:rsidP="00CB0E99">
      <w:pPr>
        <w:spacing w:line="240" w:lineRule="auto"/>
      </w:pPr>
      <w:r>
        <w:separator/>
      </w:r>
    </w:p>
  </w:endnote>
  <w:endnote w:type="continuationSeparator" w:id="0">
    <w:p w:rsidR="00056D08" w:rsidRDefault="00056D0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54E0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54E06">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08" w:rsidRDefault="00056D08" w:rsidP="00CB0E99">
      <w:pPr>
        <w:spacing w:line="240" w:lineRule="auto"/>
      </w:pPr>
      <w:r>
        <w:separator/>
      </w:r>
    </w:p>
  </w:footnote>
  <w:footnote w:type="continuationSeparator" w:id="0">
    <w:p w:rsidR="00056D08" w:rsidRDefault="00056D0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A"/>
    <w:rsid w:val="000077BD"/>
    <w:rsid w:val="00047437"/>
    <w:rsid w:val="00056D08"/>
    <w:rsid w:val="00076536"/>
    <w:rsid w:val="0008423C"/>
    <w:rsid w:val="000C4EF9"/>
    <w:rsid w:val="000E2D3C"/>
    <w:rsid w:val="000F5C66"/>
    <w:rsid w:val="001310B9"/>
    <w:rsid w:val="00144B8E"/>
    <w:rsid w:val="0015775E"/>
    <w:rsid w:val="00161D1B"/>
    <w:rsid w:val="0017428D"/>
    <w:rsid w:val="00190A9B"/>
    <w:rsid w:val="00195FC2"/>
    <w:rsid w:val="001A1223"/>
    <w:rsid w:val="001A5682"/>
    <w:rsid w:val="001B3A32"/>
    <w:rsid w:val="001B7C75"/>
    <w:rsid w:val="001C6197"/>
    <w:rsid w:val="001E47B4"/>
    <w:rsid w:val="001E51CD"/>
    <w:rsid w:val="00215810"/>
    <w:rsid w:val="00216883"/>
    <w:rsid w:val="00227C3D"/>
    <w:rsid w:val="002303F2"/>
    <w:rsid w:val="00241027"/>
    <w:rsid w:val="00243368"/>
    <w:rsid w:val="00246DAA"/>
    <w:rsid w:val="0025113F"/>
    <w:rsid w:val="002610B2"/>
    <w:rsid w:val="00286D84"/>
    <w:rsid w:val="002A2E29"/>
    <w:rsid w:val="002B10E3"/>
    <w:rsid w:val="002C16DF"/>
    <w:rsid w:val="00311305"/>
    <w:rsid w:val="00365DDC"/>
    <w:rsid w:val="00377DF0"/>
    <w:rsid w:val="00390C85"/>
    <w:rsid w:val="00392F4D"/>
    <w:rsid w:val="003B7380"/>
    <w:rsid w:val="003D6D35"/>
    <w:rsid w:val="00454E06"/>
    <w:rsid w:val="00473DFE"/>
    <w:rsid w:val="004D70DF"/>
    <w:rsid w:val="005027F6"/>
    <w:rsid w:val="00514A5D"/>
    <w:rsid w:val="00547286"/>
    <w:rsid w:val="005554B4"/>
    <w:rsid w:val="005774AB"/>
    <w:rsid w:val="005864EF"/>
    <w:rsid w:val="005D07D1"/>
    <w:rsid w:val="005E7108"/>
    <w:rsid w:val="005E790D"/>
    <w:rsid w:val="005F0DE6"/>
    <w:rsid w:val="005F4798"/>
    <w:rsid w:val="00620BA5"/>
    <w:rsid w:val="006273B4"/>
    <w:rsid w:val="006275DC"/>
    <w:rsid w:val="006374FF"/>
    <w:rsid w:val="00637F15"/>
    <w:rsid w:val="00664141"/>
    <w:rsid w:val="006A725F"/>
    <w:rsid w:val="006C5AFB"/>
    <w:rsid w:val="006D72F3"/>
    <w:rsid w:val="006D7DA2"/>
    <w:rsid w:val="006F09FE"/>
    <w:rsid w:val="006F6DE2"/>
    <w:rsid w:val="00721ACC"/>
    <w:rsid w:val="00731011"/>
    <w:rsid w:val="00735B1C"/>
    <w:rsid w:val="00744175"/>
    <w:rsid w:val="0075680B"/>
    <w:rsid w:val="00784B5A"/>
    <w:rsid w:val="0079794B"/>
    <w:rsid w:val="007A0763"/>
    <w:rsid w:val="007A2346"/>
    <w:rsid w:val="007B152C"/>
    <w:rsid w:val="007D7404"/>
    <w:rsid w:val="007E6CE3"/>
    <w:rsid w:val="007F0429"/>
    <w:rsid w:val="008940AA"/>
    <w:rsid w:val="008A3208"/>
    <w:rsid w:val="008B6429"/>
    <w:rsid w:val="008C21FC"/>
    <w:rsid w:val="00910D8D"/>
    <w:rsid w:val="009167C2"/>
    <w:rsid w:val="009B41A3"/>
    <w:rsid w:val="009C1042"/>
    <w:rsid w:val="009C7C76"/>
    <w:rsid w:val="00A025A5"/>
    <w:rsid w:val="00A33D14"/>
    <w:rsid w:val="00A42EC3"/>
    <w:rsid w:val="00A4395C"/>
    <w:rsid w:val="00A4733D"/>
    <w:rsid w:val="00A74F76"/>
    <w:rsid w:val="00A775E9"/>
    <w:rsid w:val="00A863F5"/>
    <w:rsid w:val="00AB0A33"/>
    <w:rsid w:val="00AE39C0"/>
    <w:rsid w:val="00AE4A53"/>
    <w:rsid w:val="00AE782F"/>
    <w:rsid w:val="00AF33CA"/>
    <w:rsid w:val="00B03194"/>
    <w:rsid w:val="00B034E1"/>
    <w:rsid w:val="00B123CA"/>
    <w:rsid w:val="00B30C5E"/>
    <w:rsid w:val="00B31D5B"/>
    <w:rsid w:val="00B418F4"/>
    <w:rsid w:val="00B476C3"/>
    <w:rsid w:val="00B54F8A"/>
    <w:rsid w:val="00B66FBA"/>
    <w:rsid w:val="00BA26EB"/>
    <w:rsid w:val="00BB238A"/>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04723"/>
    <w:rsid w:val="00D36503"/>
    <w:rsid w:val="00D73797"/>
    <w:rsid w:val="00D7448E"/>
    <w:rsid w:val="00D876C8"/>
    <w:rsid w:val="00D94555"/>
    <w:rsid w:val="00D97B8B"/>
    <w:rsid w:val="00DA1D78"/>
    <w:rsid w:val="00DA4CC7"/>
    <w:rsid w:val="00DC0193"/>
    <w:rsid w:val="00DD4751"/>
    <w:rsid w:val="00DF74C4"/>
    <w:rsid w:val="00E00220"/>
    <w:rsid w:val="00E04E05"/>
    <w:rsid w:val="00E1231C"/>
    <w:rsid w:val="00E273D4"/>
    <w:rsid w:val="00E33724"/>
    <w:rsid w:val="00E43D52"/>
    <w:rsid w:val="00E753B2"/>
    <w:rsid w:val="00E856BC"/>
    <w:rsid w:val="00EB7F84"/>
    <w:rsid w:val="00ED34D2"/>
    <w:rsid w:val="00EE67CC"/>
    <w:rsid w:val="00EF77FD"/>
    <w:rsid w:val="00F05A05"/>
    <w:rsid w:val="00F17459"/>
    <w:rsid w:val="00F305CE"/>
    <w:rsid w:val="00F52337"/>
    <w:rsid w:val="00F5454F"/>
    <w:rsid w:val="00F7375F"/>
    <w:rsid w:val="00F92ADD"/>
    <w:rsid w:val="00FA43DE"/>
    <w:rsid w:val="00FB0FEE"/>
    <w:rsid w:val="00FB18EF"/>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0DF5CC96"/>
  <w15:docId w15:val="{6560B483-4D6A-4432-8C84-ADE465BF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0467-FA55-4901-9707-9FD76F7F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Melanie Jendro</cp:lastModifiedBy>
  <cp:revision>3</cp:revision>
  <cp:lastPrinted>2018-09-20T07:00:00Z</cp:lastPrinted>
  <dcterms:created xsi:type="dcterms:W3CDTF">2018-09-20T07:00:00Z</dcterms:created>
  <dcterms:modified xsi:type="dcterms:W3CDTF">2018-09-20T07:07:00Z</dcterms:modified>
</cp:coreProperties>
</file>