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3E" w:rsidRPr="005E41DE" w:rsidRDefault="00757A0D" w:rsidP="009F293E">
      <w:pPr>
        <w:spacing w:after="0" w:line="336" w:lineRule="exact"/>
        <w:rPr>
          <w:rFonts w:cs="Arial"/>
          <w:b/>
          <w:szCs w:val="20"/>
          <w:lang w:val="en-US"/>
        </w:rPr>
      </w:pPr>
      <w:bookmarkStart w:id="0" w:name="Presseinformation"/>
      <w:bookmarkStart w:id="1" w:name="_GoBack"/>
      <w:bookmarkEnd w:id="0"/>
      <w:bookmarkEnd w:id="1"/>
      <w:r w:rsidRPr="005E41DE">
        <w:rPr>
          <w:rStyle w:val="TitelZchn"/>
          <w:lang w:val="en-US"/>
        </w:rPr>
        <w:t>PRESS</w:t>
      </w:r>
      <w:r w:rsidR="005E41DE" w:rsidRPr="005E41DE">
        <w:rPr>
          <w:rStyle w:val="TitelZchn"/>
          <w:lang w:val="en-US"/>
        </w:rPr>
        <w:t xml:space="preserve"> RELEASE</w:t>
      </w:r>
    </w:p>
    <w:p w:rsidR="009F293E" w:rsidRPr="005E41DE" w:rsidRDefault="009F293E" w:rsidP="000B2341">
      <w:pPr>
        <w:rPr>
          <w:lang w:val="en-US"/>
        </w:rPr>
      </w:pPr>
      <w:bookmarkStart w:id="2" w:name="Überschrift"/>
      <w:bookmarkEnd w:id="2"/>
    </w:p>
    <w:p w:rsidR="000B2341" w:rsidRPr="005E41DE" w:rsidRDefault="000B2341" w:rsidP="000B2341">
      <w:pPr>
        <w:rPr>
          <w:lang w:val="en-US"/>
        </w:rPr>
      </w:pPr>
    </w:p>
    <w:p w:rsidR="00A86CC9" w:rsidRPr="005E41DE" w:rsidRDefault="00A86CC9" w:rsidP="000B2341">
      <w:pPr>
        <w:rPr>
          <w:lang w:val="en-US"/>
        </w:rPr>
      </w:pPr>
    </w:p>
    <w:p w:rsidR="00757A0D" w:rsidRPr="005E41DE" w:rsidRDefault="005E41DE" w:rsidP="008C7A9B">
      <w:pPr>
        <w:pStyle w:val="berschrift1"/>
        <w:rPr>
          <w:lang w:val="en-US"/>
        </w:rPr>
      </w:pPr>
      <w:r w:rsidRPr="005E41DE">
        <w:rPr>
          <w:lang w:val="en-US"/>
        </w:rPr>
        <w:t>One-billion mark crossed</w:t>
      </w:r>
    </w:p>
    <w:p w:rsidR="00C524C1" w:rsidRPr="005E41DE" w:rsidRDefault="005E41DE" w:rsidP="00C524C1">
      <w:pPr>
        <w:pStyle w:val="berschrift3"/>
        <w:rPr>
          <w:lang w:val="en-US"/>
        </w:rPr>
      </w:pPr>
      <w:r w:rsidRPr="005E41DE">
        <w:rPr>
          <w:lang w:val="en-US"/>
        </w:rPr>
        <w:t>SICK saw sales and net income grow further</w:t>
      </w:r>
    </w:p>
    <w:p w:rsidR="00C524C1" w:rsidRPr="005E41DE" w:rsidRDefault="00C524C1" w:rsidP="00D76B4C">
      <w:pPr>
        <w:rPr>
          <w:lang w:val="en-US"/>
        </w:rPr>
      </w:pPr>
    </w:p>
    <w:p w:rsidR="00BC0C2F" w:rsidRDefault="005E41DE" w:rsidP="00BC0C2F">
      <w:pPr>
        <w:rPr>
          <w:b/>
          <w:bCs/>
          <w:szCs w:val="26"/>
          <w:lang w:val="en-US"/>
        </w:rPr>
      </w:pPr>
      <w:bookmarkStart w:id="3" w:name="Text"/>
      <w:bookmarkEnd w:id="3"/>
      <w:proofErr w:type="spellStart"/>
      <w:r w:rsidRPr="005E41DE">
        <w:rPr>
          <w:b/>
          <w:bCs/>
          <w:szCs w:val="26"/>
          <w:lang w:val="en-US"/>
        </w:rPr>
        <w:t>Waldkirch</w:t>
      </w:r>
      <w:proofErr w:type="spellEnd"/>
      <w:r w:rsidRPr="005E41DE">
        <w:rPr>
          <w:b/>
          <w:bCs/>
          <w:szCs w:val="26"/>
          <w:lang w:val="en-US"/>
        </w:rPr>
        <w:t>, April 8, 2014 – In 2013, the SICK Group maintained its position in a challenging market environment and continued to grow. Sales increased by 3.9 percent year-on-year and topped the one-billion mark for the first time; EBIT increased by 6.8 percent – a great achievement in view of adverse currency effects and the investment bottleneck in important markets.</w:t>
      </w:r>
    </w:p>
    <w:p w:rsidR="005E41DE" w:rsidRPr="005E41DE" w:rsidRDefault="005E41DE" w:rsidP="00BC0C2F">
      <w:pPr>
        <w:rPr>
          <w:rFonts w:cs="Arial"/>
          <w:szCs w:val="20"/>
          <w:lang w:val="en-US"/>
        </w:rPr>
      </w:pPr>
    </w:p>
    <w:p w:rsidR="005E41DE" w:rsidRPr="005E41DE" w:rsidRDefault="005E41DE" w:rsidP="005E41DE">
      <w:pPr>
        <w:rPr>
          <w:lang w:val="en-US"/>
        </w:rPr>
      </w:pPr>
      <w:bookmarkStart w:id="4" w:name="Fußnote"/>
      <w:bookmarkEnd w:id="4"/>
      <w:r w:rsidRPr="005E41DE">
        <w:rPr>
          <w:lang w:val="en-US"/>
        </w:rPr>
        <w:t>Even in difficult economic times, the SICK Group continues its steady growth. The sensor producer generated sales of EUR 1,009.5 million in the last fiscal year, which represents an increase of 3.9 percent. Orders received rose by 1.6 percent to EUR 1,010.6 million. “The North, Central and South America region in particular showed a positive trend. Moreover, our strategy to establish a presence in growth regions such as Asia, Brazil and Eastern Europe in good time has once again paid off,” said the Chairman of the Executive Board, Dr. Robert Bauer, at the presentation of the Group’s results on Tuesday. The business with environmental measurement technology in China and major logistics projects in the USA experienced substantial growth. At the same time, the weakness of the US dollar and the Japanese yen in particular as well as other currencies against the euro significantly curtailed global sales growth. The home market in Germany, where the SICK Group generates almost a quarter of its sales, did not provide any impetus for growth, either.</w:t>
      </w:r>
    </w:p>
    <w:p w:rsidR="005E41DE" w:rsidRPr="005E41DE" w:rsidRDefault="005E41DE" w:rsidP="005E41DE">
      <w:pPr>
        <w:rPr>
          <w:lang w:val="en-US"/>
        </w:rPr>
      </w:pPr>
    </w:p>
    <w:p w:rsidR="005E41DE" w:rsidRPr="005E41DE" w:rsidRDefault="005E41DE" w:rsidP="005E41DE">
      <w:pPr>
        <w:rPr>
          <w:b/>
          <w:lang w:val="en-US"/>
        </w:rPr>
      </w:pPr>
      <w:r w:rsidRPr="005E41DE">
        <w:rPr>
          <w:b/>
          <w:lang w:val="en-US"/>
        </w:rPr>
        <w:t xml:space="preserve">Disproportionately strong growth in profit </w:t>
      </w:r>
    </w:p>
    <w:p w:rsidR="005E41DE" w:rsidRPr="005E41DE" w:rsidRDefault="005E41DE" w:rsidP="005E41DE">
      <w:pPr>
        <w:rPr>
          <w:lang w:val="en-US"/>
        </w:rPr>
      </w:pPr>
      <w:r w:rsidRPr="005E41DE">
        <w:rPr>
          <w:lang w:val="en-US"/>
        </w:rPr>
        <w:t xml:space="preserve">Earnings before interest and tax (EBIT) has improved on 2012 to a greater extent than sales: As a result of a strict cost management, it increased from EUR 82.7 million to EUR 88.3 million (+6.8 percent). The EBIT margin thus amounted to 8.7 percent. The net income of EUR 59.2 million exceeded the prior-year figure by 1.2 percent, which is mostly due to a higher tax rate. The net return on sales amounted to 5.9 percent. </w:t>
      </w:r>
    </w:p>
    <w:p w:rsidR="005E41DE" w:rsidRPr="005E41DE" w:rsidRDefault="005E41DE" w:rsidP="005E41DE">
      <w:pPr>
        <w:rPr>
          <w:lang w:val="en-US"/>
        </w:rPr>
      </w:pPr>
    </w:p>
    <w:p w:rsidR="005E41DE" w:rsidRPr="005E41DE" w:rsidRDefault="005E41DE" w:rsidP="005E41DE">
      <w:pPr>
        <w:rPr>
          <w:b/>
          <w:lang w:val="en-US"/>
        </w:rPr>
      </w:pPr>
      <w:r w:rsidRPr="005E41DE">
        <w:rPr>
          <w:b/>
          <w:lang w:val="en-US"/>
        </w:rPr>
        <w:t>Investments in employees and production technology</w:t>
      </w:r>
    </w:p>
    <w:p w:rsidR="005E41DE" w:rsidRPr="005E41DE" w:rsidRDefault="005E41DE" w:rsidP="005E41DE">
      <w:pPr>
        <w:rPr>
          <w:lang w:val="en-US"/>
        </w:rPr>
      </w:pPr>
      <w:r w:rsidRPr="005E41DE">
        <w:rPr>
          <w:lang w:val="en-US"/>
        </w:rPr>
        <w:t xml:space="preserve">This positive sales trend also had an impact on the headcount. As of the end of the year, the headcount at the SICK Group was 6,597 – 295 employees more than in the previous year (+4.7 percent). Investments were made above all in research and development as well as sales and service staffing </w:t>
      </w:r>
      <w:r w:rsidRPr="005E41DE">
        <w:rPr>
          <w:lang w:val="en-US"/>
        </w:rPr>
        <w:lastRenderedPageBreak/>
        <w:t>worldwide. In Germany, the headcount rose by 4.0 percent; employment abroad was increased by 5.7 percent. Staffing levels were increased especially in the North, Central and South America region, as a result of the acquisition of a distributor for SICK safety technology in Brazil. Moreover, SICK invested heavily in the construction of new production facilities in Germany: New production buildings were built at numerous German locations, and investments were made in new development and manufacturing technologies to enhance SICK‘s competitiveness and strengthen its position on the market. SICK also extended its portfolio by adding intelligent solutions in the form of products, systems, and services. SICK invested EUR 102.3 million in research and development; this is equivalent to 10.1 percent of sales revenue.</w:t>
      </w:r>
    </w:p>
    <w:p w:rsidR="005E41DE" w:rsidRPr="005E41DE" w:rsidRDefault="005E41DE" w:rsidP="005E41DE">
      <w:pPr>
        <w:rPr>
          <w:lang w:val="en-US"/>
        </w:rPr>
      </w:pPr>
    </w:p>
    <w:p w:rsidR="005E41DE" w:rsidRPr="005E41DE" w:rsidRDefault="005E41DE" w:rsidP="005E41DE">
      <w:pPr>
        <w:rPr>
          <w:b/>
        </w:rPr>
      </w:pPr>
      <w:proofErr w:type="spellStart"/>
      <w:r w:rsidRPr="005E41DE">
        <w:rPr>
          <w:b/>
        </w:rPr>
        <w:t>Optimistic</w:t>
      </w:r>
      <w:proofErr w:type="spellEnd"/>
      <w:r w:rsidRPr="005E41DE">
        <w:rPr>
          <w:b/>
        </w:rPr>
        <w:t xml:space="preserve"> </w:t>
      </w:r>
      <w:proofErr w:type="spellStart"/>
      <w:r w:rsidRPr="005E41DE">
        <w:rPr>
          <w:b/>
        </w:rPr>
        <w:t>outlook</w:t>
      </w:r>
      <w:proofErr w:type="spellEnd"/>
    </w:p>
    <w:p w:rsidR="00C524C1" w:rsidRPr="005E41DE" w:rsidRDefault="005E41DE" w:rsidP="005E41DE">
      <w:pPr>
        <w:rPr>
          <w:rFonts w:cs="Arial"/>
          <w:lang w:val="en-US"/>
        </w:rPr>
      </w:pPr>
      <w:r w:rsidRPr="005E41DE">
        <w:rPr>
          <w:lang w:val="en-US"/>
        </w:rPr>
        <w:t>The company has optimistic expectations for this year: “I am confident that we will be able to increase our sales in the 2014 fiscal year by a higher rate, since we expect a recovery in demand, above all in Germany and other European countries, in particular in the second half of the year. We are well-prepared to seize the resulting market opportunities,” Dr. Robert Bauer says.</w:t>
      </w:r>
    </w:p>
    <w:p w:rsidR="005E41DE" w:rsidRPr="005E41DE" w:rsidRDefault="005E41DE" w:rsidP="005E41DE">
      <w:pPr>
        <w:pStyle w:val="berschrift2"/>
        <w:rPr>
          <w:lang w:val="en-US"/>
        </w:rPr>
      </w:pPr>
      <w:r w:rsidRPr="005E41DE">
        <w:rPr>
          <w:lang w:val="en-US"/>
        </w:rPr>
        <w:t>An overview of the most important key figures in this press release: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418"/>
        <w:gridCol w:w="1417"/>
        <w:gridCol w:w="2268"/>
      </w:tblGrid>
      <w:tr w:rsidR="005E41DE" w:rsidRPr="005E41DE" w:rsidTr="00347B06">
        <w:trPr>
          <w:trHeight w:val="416"/>
        </w:trPr>
        <w:tc>
          <w:tcPr>
            <w:tcW w:w="4181" w:type="dxa"/>
            <w:shd w:val="clear" w:color="auto" w:fill="007FC3"/>
          </w:tcPr>
          <w:p w:rsidR="005E41DE" w:rsidRPr="005E41DE" w:rsidRDefault="005E41DE" w:rsidP="005E41DE">
            <w:pPr>
              <w:spacing w:after="0"/>
              <w:rPr>
                <w:rFonts w:cs="Arial"/>
                <w:b/>
                <w:color w:val="FFFFFF" w:themeColor="background1"/>
              </w:rPr>
            </w:pPr>
            <w:r w:rsidRPr="005E41DE">
              <w:rPr>
                <w:rFonts w:cs="Arial"/>
                <w:b/>
                <w:color w:val="FFFFFF" w:themeColor="background1"/>
              </w:rPr>
              <w:t>SICK Group (IFRS)</w:t>
            </w:r>
          </w:p>
        </w:tc>
        <w:tc>
          <w:tcPr>
            <w:tcW w:w="1418" w:type="dxa"/>
            <w:shd w:val="clear" w:color="auto" w:fill="007FC3"/>
          </w:tcPr>
          <w:p w:rsidR="005E41DE" w:rsidRPr="005E41DE" w:rsidRDefault="005E41DE" w:rsidP="005E41DE">
            <w:pPr>
              <w:spacing w:after="0"/>
              <w:rPr>
                <w:rFonts w:cs="Arial"/>
                <w:b/>
                <w:color w:val="FFFFFF" w:themeColor="background1"/>
              </w:rPr>
            </w:pPr>
            <w:r w:rsidRPr="005E41DE">
              <w:rPr>
                <w:rFonts w:cs="Arial"/>
                <w:b/>
                <w:color w:val="FFFFFF" w:themeColor="background1"/>
              </w:rPr>
              <w:t>2012*</w:t>
            </w:r>
          </w:p>
        </w:tc>
        <w:tc>
          <w:tcPr>
            <w:tcW w:w="1417" w:type="dxa"/>
            <w:shd w:val="clear" w:color="auto" w:fill="007FC3"/>
          </w:tcPr>
          <w:p w:rsidR="005E41DE" w:rsidRPr="005E41DE" w:rsidRDefault="005E41DE" w:rsidP="005E41DE">
            <w:pPr>
              <w:spacing w:after="0"/>
              <w:rPr>
                <w:rFonts w:cs="Arial"/>
                <w:b/>
                <w:color w:val="FFFFFF" w:themeColor="background1"/>
              </w:rPr>
            </w:pPr>
            <w:r w:rsidRPr="005E41DE">
              <w:rPr>
                <w:rFonts w:cs="Arial"/>
                <w:b/>
                <w:color w:val="FFFFFF" w:themeColor="background1"/>
              </w:rPr>
              <w:t>2013</w:t>
            </w:r>
          </w:p>
        </w:tc>
        <w:tc>
          <w:tcPr>
            <w:tcW w:w="2268" w:type="dxa"/>
            <w:shd w:val="clear" w:color="auto" w:fill="007FC3"/>
          </w:tcPr>
          <w:p w:rsidR="005E41DE" w:rsidRPr="005E41DE" w:rsidRDefault="005E41DE" w:rsidP="005E41DE">
            <w:pPr>
              <w:spacing w:after="0"/>
              <w:rPr>
                <w:rFonts w:cs="Arial"/>
                <w:b/>
                <w:color w:val="FFFFFF" w:themeColor="background1"/>
              </w:rPr>
            </w:pPr>
            <w:r w:rsidRPr="005E41DE">
              <w:rPr>
                <w:rFonts w:cs="Arial"/>
                <w:b/>
                <w:color w:val="FFFFFF" w:themeColor="background1"/>
              </w:rPr>
              <w:t>Change in %</w:t>
            </w:r>
          </w:p>
        </w:tc>
      </w:tr>
      <w:tr w:rsidR="005E41DE" w:rsidRPr="001636D8" w:rsidTr="00347B06">
        <w:trPr>
          <w:trHeight w:hRule="exact" w:val="454"/>
        </w:trPr>
        <w:tc>
          <w:tcPr>
            <w:tcW w:w="4181" w:type="dxa"/>
          </w:tcPr>
          <w:p w:rsidR="005E41DE" w:rsidRPr="005E41DE" w:rsidRDefault="005E41DE" w:rsidP="000F3F01">
            <w:pPr>
              <w:rPr>
                <w:lang w:val="en-US"/>
              </w:rPr>
            </w:pPr>
            <w:r w:rsidRPr="005E41DE">
              <w:rPr>
                <w:lang w:val="en-US"/>
              </w:rPr>
              <w:t>Orders received (in EUR million)</w:t>
            </w:r>
          </w:p>
        </w:tc>
        <w:tc>
          <w:tcPr>
            <w:tcW w:w="1418" w:type="dxa"/>
          </w:tcPr>
          <w:p w:rsidR="005E41DE" w:rsidRPr="00DB52D8" w:rsidRDefault="005E41DE" w:rsidP="000F3F01">
            <w:r w:rsidRPr="00DB52D8">
              <w:t>994.9</w:t>
            </w:r>
          </w:p>
        </w:tc>
        <w:tc>
          <w:tcPr>
            <w:tcW w:w="1417" w:type="dxa"/>
          </w:tcPr>
          <w:p w:rsidR="005E41DE" w:rsidRPr="00DB52D8" w:rsidRDefault="005E41DE" w:rsidP="000F3F01">
            <w:r w:rsidRPr="00DB52D8">
              <w:t>1,010.6</w:t>
            </w:r>
          </w:p>
        </w:tc>
        <w:tc>
          <w:tcPr>
            <w:tcW w:w="2268" w:type="dxa"/>
          </w:tcPr>
          <w:p w:rsidR="005E41DE" w:rsidRPr="00DB52D8" w:rsidRDefault="005E41DE" w:rsidP="000F3F01">
            <w:r w:rsidRPr="00DB52D8">
              <w:t>1.6</w:t>
            </w:r>
          </w:p>
        </w:tc>
      </w:tr>
      <w:tr w:rsidR="005E41DE" w:rsidRPr="001636D8" w:rsidTr="00347B06">
        <w:trPr>
          <w:trHeight w:hRule="exact" w:val="454"/>
        </w:trPr>
        <w:tc>
          <w:tcPr>
            <w:tcW w:w="4181" w:type="dxa"/>
          </w:tcPr>
          <w:p w:rsidR="005E41DE" w:rsidRPr="00DB52D8" w:rsidRDefault="005E41DE" w:rsidP="000F3F01">
            <w:proofErr w:type="spellStart"/>
            <w:r w:rsidRPr="00DB52D8">
              <w:t>Sales</w:t>
            </w:r>
            <w:proofErr w:type="spellEnd"/>
            <w:r w:rsidRPr="00DB52D8">
              <w:t xml:space="preserve"> (in EUR </w:t>
            </w:r>
            <w:proofErr w:type="spellStart"/>
            <w:r w:rsidRPr="00DB52D8">
              <w:t>million</w:t>
            </w:r>
            <w:proofErr w:type="spellEnd"/>
            <w:r w:rsidRPr="00DB52D8">
              <w:t>)</w:t>
            </w:r>
          </w:p>
        </w:tc>
        <w:tc>
          <w:tcPr>
            <w:tcW w:w="1418" w:type="dxa"/>
          </w:tcPr>
          <w:p w:rsidR="005E41DE" w:rsidRPr="00DB52D8" w:rsidRDefault="005E41DE" w:rsidP="000F3F01">
            <w:r w:rsidRPr="00DB52D8">
              <w:t>971.3</w:t>
            </w:r>
          </w:p>
        </w:tc>
        <w:tc>
          <w:tcPr>
            <w:tcW w:w="1417" w:type="dxa"/>
          </w:tcPr>
          <w:p w:rsidR="005E41DE" w:rsidRPr="00DB52D8" w:rsidRDefault="005E41DE" w:rsidP="000F3F01">
            <w:r w:rsidRPr="00DB52D8">
              <w:t>1,009.5</w:t>
            </w:r>
          </w:p>
        </w:tc>
        <w:tc>
          <w:tcPr>
            <w:tcW w:w="2268" w:type="dxa"/>
          </w:tcPr>
          <w:p w:rsidR="005E41DE" w:rsidRPr="00DB52D8" w:rsidRDefault="005E41DE" w:rsidP="000F3F01">
            <w:r w:rsidRPr="00DB52D8">
              <w:t>3.9</w:t>
            </w:r>
          </w:p>
        </w:tc>
      </w:tr>
      <w:tr w:rsidR="005E41DE" w:rsidRPr="001636D8" w:rsidTr="00347B06">
        <w:trPr>
          <w:trHeight w:hRule="exact" w:val="454"/>
        </w:trPr>
        <w:tc>
          <w:tcPr>
            <w:tcW w:w="4181" w:type="dxa"/>
          </w:tcPr>
          <w:p w:rsidR="005E41DE" w:rsidRPr="00DB52D8" w:rsidRDefault="005E41DE" w:rsidP="000F3F01">
            <w:r w:rsidRPr="00DB52D8">
              <w:t xml:space="preserve">EBIT (in EUR </w:t>
            </w:r>
            <w:proofErr w:type="spellStart"/>
            <w:r w:rsidRPr="00DB52D8">
              <w:t>million</w:t>
            </w:r>
            <w:proofErr w:type="spellEnd"/>
            <w:r w:rsidRPr="00DB52D8">
              <w:t>)</w:t>
            </w:r>
          </w:p>
        </w:tc>
        <w:tc>
          <w:tcPr>
            <w:tcW w:w="1418" w:type="dxa"/>
          </w:tcPr>
          <w:p w:rsidR="005E41DE" w:rsidRPr="00DB52D8" w:rsidRDefault="005E41DE" w:rsidP="000F3F01">
            <w:r w:rsidRPr="00DB52D8">
              <w:t>82.7</w:t>
            </w:r>
          </w:p>
        </w:tc>
        <w:tc>
          <w:tcPr>
            <w:tcW w:w="1417" w:type="dxa"/>
          </w:tcPr>
          <w:p w:rsidR="005E41DE" w:rsidRPr="00DB52D8" w:rsidRDefault="005E41DE" w:rsidP="000F3F01">
            <w:r w:rsidRPr="00DB52D8">
              <w:t>88.3</w:t>
            </w:r>
          </w:p>
        </w:tc>
        <w:tc>
          <w:tcPr>
            <w:tcW w:w="2268" w:type="dxa"/>
          </w:tcPr>
          <w:p w:rsidR="005E41DE" w:rsidRPr="00DB52D8" w:rsidRDefault="005E41DE" w:rsidP="000F3F01">
            <w:r w:rsidRPr="00DB52D8">
              <w:t>6.8</w:t>
            </w:r>
          </w:p>
        </w:tc>
      </w:tr>
      <w:tr w:rsidR="005E41DE" w:rsidRPr="001636D8" w:rsidTr="00347B06">
        <w:trPr>
          <w:trHeight w:hRule="exact" w:val="454"/>
        </w:trPr>
        <w:tc>
          <w:tcPr>
            <w:tcW w:w="4181" w:type="dxa"/>
          </w:tcPr>
          <w:p w:rsidR="005E41DE" w:rsidRPr="00DB52D8" w:rsidRDefault="005E41DE" w:rsidP="000F3F01">
            <w:r w:rsidRPr="00DB52D8">
              <w:t xml:space="preserve">Net </w:t>
            </w:r>
            <w:proofErr w:type="spellStart"/>
            <w:r w:rsidRPr="00DB52D8">
              <w:t>income</w:t>
            </w:r>
            <w:proofErr w:type="spellEnd"/>
            <w:r w:rsidRPr="00DB52D8">
              <w:t xml:space="preserve"> (in EUR </w:t>
            </w:r>
            <w:proofErr w:type="spellStart"/>
            <w:r w:rsidRPr="00DB52D8">
              <w:t>million</w:t>
            </w:r>
            <w:proofErr w:type="spellEnd"/>
            <w:r w:rsidRPr="00DB52D8">
              <w:t>)</w:t>
            </w:r>
          </w:p>
        </w:tc>
        <w:tc>
          <w:tcPr>
            <w:tcW w:w="1418" w:type="dxa"/>
          </w:tcPr>
          <w:p w:rsidR="005E41DE" w:rsidRPr="00DB52D8" w:rsidRDefault="005E41DE" w:rsidP="000F3F01">
            <w:r w:rsidRPr="00DB52D8">
              <w:t>58.5</w:t>
            </w:r>
          </w:p>
        </w:tc>
        <w:tc>
          <w:tcPr>
            <w:tcW w:w="1417" w:type="dxa"/>
          </w:tcPr>
          <w:p w:rsidR="005E41DE" w:rsidRPr="00DB52D8" w:rsidRDefault="005E41DE" w:rsidP="000F3F01">
            <w:r w:rsidRPr="00DB52D8">
              <w:t>59.2</w:t>
            </w:r>
          </w:p>
        </w:tc>
        <w:tc>
          <w:tcPr>
            <w:tcW w:w="2268" w:type="dxa"/>
          </w:tcPr>
          <w:p w:rsidR="005E41DE" w:rsidRPr="00DB52D8" w:rsidRDefault="005E41DE" w:rsidP="000F3F01">
            <w:r w:rsidRPr="00DB52D8">
              <w:t>1.2</w:t>
            </w:r>
          </w:p>
        </w:tc>
      </w:tr>
      <w:tr w:rsidR="005E41DE" w:rsidRPr="001636D8" w:rsidTr="00347B06">
        <w:trPr>
          <w:trHeight w:hRule="exact" w:val="454"/>
        </w:trPr>
        <w:tc>
          <w:tcPr>
            <w:tcW w:w="4181" w:type="dxa"/>
          </w:tcPr>
          <w:p w:rsidR="005E41DE" w:rsidRPr="00DB52D8" w:rsidRDefault="005E41DE" w:rsidP="000F3F01">
            <w:r w:rsidRPr="00DB52D8">
              <w:t xml:space="preserve">R&amp;D </w:t>
            </w:r>
            <w:proofErr w:type="spellStart"/>
            <w:r w:rsidRPr="00DB52D8">
              <w:t>expenditure</w:t>
            </w:r>
            <w:proofErr w:type="spellEnd"/>
            <w:r w:rsidRPr="00DB52D8">
              <w:t xml:space="preserve"> (in EUR </w:t>
            </w:r>
            <w:proofErr w:type="spellStart"/>
            <w:r w:rsidRPr="00DB52D8">
              <w:t>million</w:t>
            </w:r>
            <w:proofErr w:type="spellEnd"/>
            <w:r w:rsidRPr="00DB52D8">
              <w:t>)</w:t>
            </w:r>
          </w:p>
        </w:tc>
        <w:tc>
          <w:tcPr>
            <w:tcW w:w="1418" w:type="dxa"/>
          </w:tcPr>
          <w:p w:rsidR="005E41DE" w:rsidRPr="00DB52D8" w:rsidRDefault="005E41DE" w:rsidP="000F3F01">
            <w:r w:rsidRPr="00DB52D8">
              <w:t>93.5</w:t>
            </w:r>
          </w:p>
        </w:tc>
        <w:tc>
          <w:tcPr>
            <w:tcW w:w="1417" w:type="dxa"/>
          </w:tcPr>
          <w:p w:rsidR="005E41DE" w:rsidRPr="00DB52D8" w:rsidRDefault="005E41DE" w:rsidP="000F3F01">
            <w:r w:rsidRPr="00DB52D8">
              <w:t>102.3</w:t>
            </w:r>
          </w:p>
        </w:tc>
        <w:tc>
          <w:tcPr>
            <w:tcW w:w="2268" w:type="dxa"/>
          </w:tcPr>
          <w:p w:rsidR="005E41DE" w:rsidRPr="00DB52D8" w:rsidRDefault="005E41DE" w:rsidP="000F3F01">
            <w:r w:rsidRPr="00DB52D8">
              <w:t>9.4</w:t>
            </w:r>
          </w:p>
        </w:tc>
      </w:tr>
      <w:tr w:rsidR="005E41DE" w:rsidRPr="001636D8" w:rsidTr="00347B06">
        <w:trPr>
          <w:trHeight w:hRule="exact" w:val="454"/>
        </w:trPr>
        <w:tc>
          <w:tcPr>
            <w:tcW w:w="4181" w:type="dxa"/>
          </w:tcPr>
          <w:p w:rsidR="005E41DE" w:rsidRPr="00DB52D8" w:rsidRDefault="005E41DE" w:rsidP="000F3F01">
            <w:proofErr w:type="spellStart"/>
            <w:r w:rsidRPr="00DB52D8">
              <w:t>Employees</w:t>
            </w:r>
            <w:proofErr w:type="spellEnd"/>
            <w:r w:rsidRPr="00DB52D8">
              <w:t xml:space="preserve"> </w:t>
            </w:r>
            <w:proofErr w:type="spellStart"/>
            <w:r w:rsidRPr="00DB52D8">
              <w:t>as</w:t>
            </w:r>
            <w:proofErr w:type="spellEnd"/>
            <w:r w:rsidRPr="00DB52D8">
              <w:t xml:space="preserve"> </w:t>
            </w:r>
            <w:proofErr w:type="spellStart"/>
            <w:r w:rsidRPr="00DB52D8">
              <w:t>of</w:t>
            </w:r>
            <w:proofErr w:type="spellEnd"/>
            <w:r w:rsidRPr="00DB52D8">
              <w:t xml:space="preserve"> </w:t>
            </w:r>
            <w:proofErr w:type="spellStart"/>
            <w:r w:rsidRPr="00DB52D8">
              <w:t>December</w:t>
            </w:r>
            <w:proofErr w:type="spellEnd"/>
            <w:r w:rsidRPr="00DB52D8">
              <w:t xml:space="preserve"> 31</w:t>
            </w:r>
          </w:p>
        </w:tc>
        <w:tc>
          <w:tcPr>
            <w:tcW w:w="1418" w:type="dxa"/>
          </w:tcPr>
          <w:p w:rsidR="005E41DE" w:rsidRPr="00DB52D8" w:rsidRDefault="005E41DE" w:rsidP="000F3F01">
            <w:r w:rsidRPr="00DB52D8">
              <w:t>6,302</w:t>
            </w:r>
          </w:p>
        </w:tc>
        <w:tc>
          <w:tcPr>
            <w:tcW w:w="1417" w:type="dxa"/>
          </w:tcPr>
          <w:p w:rsidR="005E41DE" w:rsidRPr="00DB52D8" w:rsidRDefault="005E41DE" w:rsidP="000F3F01">
            <w:r w:rsidRPr="00DB52D8">
              <w:t>6,597</w:t>
            </w:r>
          </w:p>
        </w:tc>
        <w:tc>
          <w:tcPr>
            <w:tcW w:w="2268" w:type="dxa"/>
          </w:tcPr>
          <w:p w:rsidR="005E41DE" w:rsidRDefault="005E41DE" w:rsidP="000F3F01">
            <w:r w:rsidRPr="00DB52D8">
              <w:t>4.7</w:t>
            </w:r>
          </w:p>
        </w:tc>
      </w:tr>
    </w:tbl>
    <w:p w:rsidR="001636D8" w:rsidRDefault="005E41DE" w:rsidP="001636D8">
      <w:pPr>
        <w:rPr>
          <w:rFonts w:cs="Arial"/>
          <w:i/>
          <w:sz w:val="16"/>
          <w:szCs w:val="16"/>
          <w:lang w:val="en-US"/>
        </w:rPr>
      </w:pPr>
      <w:r w:rsidRPr="005E41DE">
        <w:rPr>
          <w:rFonts w:cs="Arial"/>
          <w:i/>
          <w:sz w:val="16"/>
          <w:szCs w:val="16"/>
          <w:lang w:val="en-US"/>
        </w:rPr>
        <w:t>* adjusted in accordance with IAS 19 revised</w:t>
      </w:r>
    </w:p>
    <w:p w:rsidR="005E41DE" w:rsidRPr="005E41DE" w:rsidRDefault="005E41DE" w:rsidP="001636D8">
      <w:pPr>
        <w:rPr>
          <w:rFonts w:cs="Arial"/>
          <w:lang w:val="en-US"/>
        </w:rPr>
      </w:pPr>
    </w:p>
    <w:p w:rsidR="001D4523" w:rsidRPr="005E41DE" w:rsidRDefault="005E41DE" w:rsidP="005E41DE">
      <w:pPr>
        <w:rPr>
          <w:rFonts w:cs="Arial"/>
          <w:color w:val="007FC3"/>
          <w:szCs w:val="20"/>
          <w:lang w:val="en-US"/>
        </w:rPr>
      </w:pPr>
      <w:r w:rsidRPr="005E41DE">
        <w:rPr>
          <w:rFonts w:cs="Arial"/>
          <w:color w:val="007FC3"/>
          <w:szCs w:val="20"/>
          <w:lang w:val="en-US"/>
        </w:rPr>
        <w:t>Further information on SICK is available on the Internet at http://www.sick.com or by phone at +49 7681 202-5747.</w:t>
      </w:r>
    </w:p>
    <w:sectPr w:rsidR="001D4523" w:rsidRPr="005E41DE" w:rsidSect="001D4523">
      <w:headerReference w:type="even" r:id="rId12"/>
      <w:headerReference w:type="default" r:id="rId13"/>
      <w:footerReference w:type="even" r:id="rId14"/>
      <w:footerReference w:type="default" r:id="rId15"/>
      <w:headerReference w:type="first" r:id="rId16"/>
      <w:footerReference w:type="first" r:id="rId17"/>
      <w:pgSz w:w="11906" w:h="16838" w:code="9"/>
      <w:pgMar w:top="2835" w:right="1134"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E3" w:rsidRDefault="001206E3" w:rsidP="00757A0D">
      <w:pPr>
        <w:spacing w:after="0" w:line="240" w:lineRule="auto"/>
      </w:pPr>
      <w:r>
        <w:separator/>
      </w:r>
    </w:p>
  </w:endnote>
  <w:endnote w:type="continuationSeparator" w:id="0">
    <w:p w:rsidR="001206E3" w:rsidRDefault="001206E3" w:rsidP="0075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DE" w:rsidRDefault="005E41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23" w:rsidRPr="001D4523" w:rsidRDefault="001D4523" w:rsidP="001D4523">
    <w:pPr>
      <w:pStyle w:val="Fuzeile"/>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DE" w:rsidRDefault="005E41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E3" w:rsidRDefault="001206E3" w:rsidP="00757A0D">
      <w:pPr>
        <w:spacing w:after="0" w:line="240" w:lineRule="auto"/>
      </w:pPr>
      <w:r>
        <w:separator/>
      </w:r>
    </w:p>
  </w:footnote>
  <w:footnote w:type="continuationSeparator" w:id="0">
    <w:p w:rsidR="001206E3" w:rsidRDefault="001206E3" w:rsidP="00757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DE" w:rsidRDefault="005E41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0D" w:rsidRDefault="00417F79" w:rsidP="00757A0D">
    <w:pPr>
      <w:pStyle w:val="Kopfzeile"/>
      <w:jc w:val="right"/>
    </w:pPr>
    <w:r>
      <w:rPr>
        <w:noProof/>
      </w:rPr>
      <w:drawing>
        <wp:inline distT="0" distB="0" distL="0" distR="0">
          <wp:extent cx="1440000" cy="590400"/>
          <wp:effectExtent l="0" t="0" r="825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K_Logo_Claim.jpg"/>
                  <pic:cNvPicPr/>
                </pic:nvPicPr>
                <pic:blipFill>
                  <a:blip r:embed="rId1">
                    <a:extLst>
                      <a:ext uri="{28A0092B-C50C-407E-A947-70E740481C1C}">
                        <a14:useLocalDpi xmlns:a14="http://schemas.microsoft.com/office/drawing/2010/main" val="0"/>
                      </a:ext>
                    </a:extLst>
                  </a:blip>
                  <a:stretch>
                    <a:fillRect/>
                  </a:stretch>
                </pic:blipFill>
                <pic:spPr>
                  <a:xfrm>
                    <a:off x="0" y="0"/>
                    <a:ext cx="1440000" cy="590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DE" w:rsidRDefault="005E41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964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85939AE"/>
    <w:multiLevelType w:val="hybridMultilevel"/>
    <w:tmpl w:val="4FB41BD0"/>
    <w:lvl w:ilvl="0" w:tplc="D088773A">
      <w:numFmt w:val="bullet"/>
      <w:lvlText w:val="-"/>
      <w:lvlJc w:val="left"/>
      <w:pPr>
        <w:ind w:left="450" w:hanging="360"/>
      </w:pPr>
      <w:rPr>
        <w:rFonts w:ascii="Arial" w:eastAsia="Times New Roman" w:hAnsi="Arial" w:cs="Aria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8B"/>
    <w:rsid w:val="000429B6"/>
    <w:rsid w:val="00044AC3"/>
    <w:rsid w:val="000B2341"/>
    <w:rsid w:val="000F248B"/>
    <w:rsid w:val="001206E3"/>
    <w:rsid w:val="001636D8"/>
    <w:rsid w:val="001D4523"/>
    <w:rsid w:val="00215860"/>
    <w:rsid w:val="002778D6"/>
    <w:rsid w:val="00372E15"/>
    <w:rsid w:val="00417F79"/>
    <w:rsid w:val="004C19CB"/>
    <w:rsid w:val="00561492"/>
    <w:rsid w:val="005B4C04"/>
    <w:rsid w:val="005E41DE"/>
    <w:rsid w:val="00654AB8"/>
    <w:rsid w:val="00655F3F"/>
    <w:rsid w:val="00726318"/>
    <w:rsid w:val="00757A0D"/>
    <w:rsid w:val="007614B3"/>
    <w:rsid w:val="007B69C4"/>
    <w:rsid w:val="007F2C4A"/>
    <w:rsid w:val="008C7A9B"/>
    <w:rsid w:val="00941BF0"/>
    <w:rsid w:val="009C64FC"/>
    <w:rsid w:val="009F293E"/>
    <w:rsid w:val="00A26187"/>
    <w:rsid w:val="00A355DB"/>
    <w:rsid w:val="00A86CC9"/>
    <w:rsid w:val="00A912E9"/>
    <w:rsid w:val="00A92AE9"/>
    <w:rsid w:val="00B50F7F"/>
    <w:rsid w:val="00B657B7"/>
    <w:rsid w:val="00BC0C2F"/>
    <w:rsid w:val="00BC2C4C"/>
    <w:rsid w:val="00C3609E"/>
    <w:rsid w:val="00C524C1"/>
    <w:rsid w:val="00D76B4C"/>
    <w:rsid w:val="00D814CB"/>
    <w:rsid w:val="00E1642D"/>
    <w:rsid w:val="00ED0E11"/>
    <w:rsid w:val="00ED170D"/>
    <w:rsid w:val="00EF615A"/>
    <w:rsid w:val="00F149D2"/>
    <w:rsid w:val="00F92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9CB"/>
    <w:pPr>
      <w:spacing w:after="120" w:line="324" w:lineRule="auto"/>
    </w:pPr>
    <w:rPr>
      <w:rFonts w:ascii="Arial" w:hAnsi="Arial"/>
      <w:szCs w:val="22"/>
    </w:rPr>
  </w:style>
  <w:style w:type="paragraph" w:styleId="berschrift1">
    <w:name w:val="heading 1"/>
    <w:aliases w:val="Überschrift"/>
    <w:basedOn w:val="Standard"/>
    <w:next w:val="Standard"/>
    <w:link w:val="berschrift1Zchn"/>
    <w:uiPriority w:val="9"/>
    <w:qFormat/>
    <w:rsid w:val="000B2341"/>
    <w:pPr>
      <w:keepNext/>
      <w:keepLines/>
      <w:spacing w:after="0" w:line="336" w:lineRule="exact"/>
      <w:outlineLvl w:val="0"/>
    </w:pPr>
    <w:rPr>
      <w:b/>
      <w:bCs/>
      <w:sz w:val="28"/>
      <w:szCs w:val="28"/>
    </w:rPr>
  </w:style>
  <w:style w:type="paragraph" w:styleId="berschrift2">
    <w:name w:val="heading 2"/>
    <w:aliases w:val="Zwischenüberschrift"/>
    <w:basedOn w:val="Standard"/>
    <w:next w:val="Standard"/>
    <w:link w:val="berschrift2Zchn"/>
    <w:uiPriority w:val="9"/>
    <w:qFormat/>
    <w:rsid w:val="008C7A9B"/>
    <w:pPr>
      <w:keepNext/>
      <w:keepLines/>
      <w:outlineLvl w:val="1"/>
    </w:pPr>
    <w:rPr>
      <w:b/>
      <w:bCs/>
      <w:szCs w:val="26"/>
    </w:rPr>
  </w:style>
  <w:style w:type="paragraph" w:styleId="berschrift3">
    <w:name w:val="heading 3"/>
    <w:aliases w:val="Subline"/>
    <w:basedOn w:val="Standard"/>
    <w:next w:val="Standard"/>
    <w:link w:val="berschrift3Zchn"/>
    <w:uiPriority w:val="9"/>
    <w:unhideWhenUsed/>
    <w:qFormat/>
    <w:rsid w:val="000B2341"/>
    <w:pPr>
      <w:keepNext/>
      <w:spacing w:line="336" w:lineRule="exact"/>
      <w:outlineLvl w:val="2"/>
    </w:pPr>
    <w:rPr>
      <w:rFonts w:eastAsiaTheme="majorEastAsia" w:cstheme="majorBidi"/>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7A0D"/>
    <w:pPr>
      <w:tabs>
        <w:tab w:val="center" w:pos="4536"/>
        <w:tab w:val="right" w:pos="9072"/>
      </w:tabs>
    </w:pPr>
  </w:style>
  <w:style w:type="character" w:customStyle="1" w:styleId="KopfzeileZchn">
    <w:name w:val="Kopfzeile Zchn"/>
    <w:link w:val="Kopfzeile"/>
    <w:uiPriority w:val="99"/>
    <w:rsid w:val="00757A0D"/>
    <w:rPr>
      <w:sz w:val="22"/>
      <w:szCs w:val="22"/>
    </w:rPr>
  </w:style>
  <w:style w:type="paragraph" w:styleId="Fuzeile">
    <w:name w:val="footer"/>
    <w:basedOn w:val="Standard"/>
    <w:link w:val="FuzeileZchn"/>
    <w:uiPriority w:val="99"/>
    <w:unhideWhenUsed/>
    <w:rsid w:val="00757A0D"/>
    <w:pPr>
      <w:tabs>
        <w:tab w:val="center" w:pos="4536"/>
        <w:tab w:val="right" w:pos="9072"/>
      </w:tabs>
    </w:pPr>
  </w:style>
  <w:style w:type="character" w:customStyle="1" w:styleId="FuzeileZchn">
    <w:name w:val="Fußzeile Zchn"/>
    <w:link w:val="Fuzeile"/>
    <w:uiPriority w:val="99"/>
    <w:rsid w:val="00757A0D"/>
    <w:rPr>
      <w:sz w:val="22"/>
      <w:szCs w:val="22"/>
    </w:rPr>
  </w:style>
  <w:style w:type="character" w:styleId="Hyperlink">
    <w:name w:val="Hyperlink"/>
    <w:uiPriority w:val="99"/>
    <w:unhideWhenUsed/>
    <w:rsid w:val="00ED0E11"/>
    <w:rPr>
      <w:color w:val="0000FF"/>
      <w:u w:val="single"/>
    </w:rPr>
  </w:style>
  <w:style w:type="paragraph" w:styleId="Sprechblasentext">
    <w:name w:val="Balloon Text"/>
    <w:basedOn w:val="Standard"/>
    <w:link w:val="SprechblasentextZchn"/>
    <w:uiPriority w:val="99"/>
    <w:semiHidden/>
    <w:unhideWhenUsed/>
    <w:rsid w:val="00BC0C2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C0C2F"/>
    <w:rPr>
      <w:rFonts w:ascii="Tahoma" w:hAnsi="Tahoma" w:cs="Tahoma"/>
      <w:sz w:val="16"/>
      <w:szCs w:val="16"/>
    </w:rPr>
  </w:style>
  <w:style w:type="paragraph" w:styleId="Titel">
    <w:name w:val="Title"/>
    <w:basedOn w:val="Standard"/>
    <w:next w:val="Standard"/>
    <w:link w:val="TitelZchn"/>
    <w:uiPriority w:val="10"/>
    <w:qFormat/>
    <w:rsid w:val="008C7A9B"/>
    <w:pPr>
      <w:spacing w:after="0" w:line="240" w:lineRule="auto"/>
      <w:contextualSpacing/>
    </w:pPr>
    <w:rPr>
      <w:color w:val="007FC3"/>
      <w:spacing w:val="5"/>
      <w:kern w:val="28"/>
      <w:sz w:val="32"/>
      <w:szCs w:val="52"/>
    </w:rPr>
  </w:style>
  <w:style w:type="character" w:customStyle="1" w:styleId="TitelZchn">
    <w:name w:val="Titel Zchn"/>
    <w:link w:val="Titel"/>
    <w:uiPriority w:val="10"/>
    <w:rsid w:val="008C7A9B"/>
    <w:rPr>
      <w:rFonts w:ascii="Arial" w:eastAsia="Times New Roman" w:hAnsi="Arial" w:cs="Times New Roman"/>
      <w:color w:val="007FC3"/>
      <w:spacing w:val="5"/>
      <w:kern w:val="28"/>
      <w:sz w:val="32"/>
      <w:szCs w:val="52"/>
    </w:rPr>
  </w:style>
  <w:style w:type="character" w:customStyle="1" w:styleId="berschrift1Zchn">
    <w:name w:val="Überschrift 1 Zchn"/>
    <w:aliases w:val="Überschrift Zchn"/>
    <w:link w:val="berschrift1"/>
    <w:uiPriority w:val="9"/>
    <w:rsid w:val="000B2341"/>
    <w:rPr>
      <w:rFonts w:ascii="Arial" w:hAnsi="Arial"/>
      <w:b/>
      <w:bCs/>
      <w:sz w:val="28"/>
      <w:szCs w:val="28"/>
    </w:rPr>
  </w:style>
  <w:style w:type="character" w:customStyle="1" w:styleId="berschrift2Zchn">
    <w:name w:val="Überschrift 2 Zchn"/>
    <w:aliases w:val="Zwischenüberschrift Zchn"/>
    <w:link w:val="berschrift2"/>
    <w:uiPriority w:val="9"/>
    <w:rsid w:val="008C7A9B"/>
    <w:rPr>
      <w:rFonts w:ascii="Arial" w:eastAsia="Times New Roman" w:hAnsi="Arial" w:cs="Times New Roman"/>
      <w:b/>
      <w:bCs/>
      <w:szCs w:val="26"/>
    </w:rPr>
  </w:style>
  <w:style w:type="character" w:customStyle="1" w:styleId="berschrift3Zchn">
    <w:name w:val="Überschrift 3 Zchn"/>
    <w:aliases w:val="Subline Zchn"/>
    <w:basedOn w:val="Absatz-Standardschriftart"/>
    <w:link w:val="berschrift3"/>
    <w:uiPriority w:val="9"/>
    <w:rsid w:val="000B2341"/>
    <w:rPr>
      <w:rFonts w:ascii="Arial" w:eastAsiaTheme="majorEastAsia" w:hAnsi="Arial" w:cstheme="majorBidi"/>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9CB"/>
    <w:pPr>
      <w:spacing w:after="120" w:line="324" w:lineRule="auto"/>
    </w:pPr>
    <w:rPr>
      <w:rFonts w:ascii="Arial" w:hAnsi="Arial"/>
      <w:szCs w:val="22"/>
    </w:rPr>
  </w:style>
  <w:style w:type="paragraph" w:styleId="berschrift1">
    <w:name w:val="heading 1"/>
    <w:aliases w:val="Überschrift"/>
    <w:basedOn w:val="Standard"/>
    <w:next w:val="Standard"/>
    <w:link w:val="berschrift1Zchn"/>
    <w:uiPriority w:val="9"/>
    <w:qFormat/>
    <w:rsid w:val="000B2341"/>
    <w:pPr>
      <w:keepNext/>
      <w:keepLines/>
      <w:spacing w:after="0" w:line="336" w:lineRule="exact"/>
      <w:outlineLvl w:val="0"/>
    </w:pPr>
    <w:rPr>
      <w:b/>
      <w:bCs/>
      <w:sz w:val="28"/>
      <w:szCs w:val="28"/>
    </w:rPr>
  </w:style>
  <w:style w:type="paragraph" w:styleId="berschrift2">
    <w:name w:val="heading 2"/>
    <w:aliases w:val="Zwischenüberschrift"/>
    <w:basedOn w:val="Standard"/>
    <w:next w:val="Standard"/>
    <w:link w:val="berschrift2Zchn"/>
    <w:uiPriority w:val="9"/>
    <w:qFormat/>
    <w:rsid w:val="008C7A9B"/>
    <w:pPr>
      <w:keepNext/>
      <w:keepLines/>
      <w:outlineLvl w:val="1"/>
    </w:pPr>
    <w:rPr>
      <w:b/>
      <w:bCs/>
      <w:szCs w:val="26"/>
    </w:rPr>
  </w:style>
  <w:style w:type="paragraph" w:styleId="berschrift3">
    <w:name w:val="heading 3"/>
    <w:aliases w:val="Subline"/>
    <w:basedOn w:val="Standard"/>
    <w:next w:val="Standard"/>
    <w:link w:val="berschrift3Zchn"/>
    <w:uiPriority w:val="9"/>
    <w:unhideWhenUsed/>
    <w:qFormat/>
    <w:rsid w:val="000B2341"/>
    <w:pPr>
      <w:keepNext/>
      <w:spacing w:line="336" w:lineRule="exact"/>
      <w:outlineLvl w:val="2"/>
    </w:pPr>
    <w:rPr>
      <w:rFonts w:eastAsiaTheme="majorEastAsia" w:cstheme="majorBidi"/>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7A0D"/>
    <w:pPr>
      <w:tabs>
        <w:tab w:val="center" w:pos="4536"/>
        <w:tab w:val="right" w:pos="9072"/>
      </w:tabs>
    </w:pPr>
  </w:style>
  <w:style w:type="character" w:customStyle="1" w:styleId="KopfzeileZchn">
    <w:name w:val="Kopfzeile Zchn"/>
    <w:link w:val="Kopfzeile"/>
    <w:uiPriority w:val="99"/>
    <w:rsid w:val="00757A0D"/>
    <w:rPr>
      <w:sz w:val="22"/>
      <w:szCs w:val="22"/>
    </w:rPr>
  </w:style>
  <w:style w:type="paragraph" w:styleId="Fuzeile">
    <w:name w:val="footer"/>
    <w:basedOn w:val="Standard"/>
    <w:link w:val="FuzeileZchn"/>
    <w:uiPriority w:val="99"/>
    <w:unhideWhenUsed/>
    <w:rsid w:val="00757A0D"/>
    <w:pPr>
      <w:tabs>
        <w:tab w:val="center" w:pos="4536"/>
        <w:tab w:val="right" w:pos="9072"/>
      </w:tabs>
    </w:pPr>
  </w:style>
  <w:style w:type="character" w:customStyle="1" w:styleId="FuzeileZchn">
    <w:name w:val="Fußzeile Zchn"/>
    <w:link w:val="Fuzeile"/>
    <w:uiPriority w:val="99"/>
    <w:rsid w:val="00757A0D"/>
    <w:rPr>
      <w:sz w:val="22"/>
      <w:szCs w:val="22"/>
    </w:rPr>
  </w:style>
  <w:style w:type="character" w:styleId="Hyperlink">
    <w:name w:val="Hyperlink"/>
    <w:uiPriority w:val="99"/>
    <w:unhideWhenUsed/>
    <w:rsid w:val="00ED0E11"/>
    <w:rPr>
      <w:color w:val="0000FF"/>
      <w:u w:val="single"/>
    </w:rPr>
  </w:style>
  <w:style w:type="paragraph" w:styleId="Sprechblasentext">
    <w:name w:val="Balloon Text"/>
    <w:basedOn w:val="Standard"/>
    <w:link w:val="SprechblasentextZchn"/>
    <w:uiPriority w:val="99"/>
    <w:semiHidden/>
    <w:unhideWhenUsed/>
    <w:rsid w:val="00BC0C2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C0C2F"/>
    <w:rPr>
      <w:rFonts w:ascii="Tahoma" w:hAnsi="Tahoma" w:cs="Tahoma"/>
      <w:sz w:val="16"/>
      <w:szCs w:val="16"/>
    </w:rPr>
  </w:style>
  <w:style w:type="paragraph" w:styleId="Titel">
    <w:name w:val="Title"/>
    <w:basedOn w:val="Standard"/>
    <w:next w:val="Standard"/>
    <w:link w:val="TitelZchn"/>
    <w:uiPriority w:val="10"/>
    <w:qFormat/>
    <w:rsid w:val="008C7A9B"/>
    <w:pPr>
      <w:spacing w:after="0" w:line="240" w:lineRule="auto"/>
      <w:contextualSpacing/>
    </w:pPr>
    <w:rPr>
      <w:color w:val="007FC3"/>
      <w:spacing w:val="5"/>
      <w:kern w:val="28"/>
      <w:sz w:val="32"/>
      <w:szCs w:val="52"/>
    </w:rPr>
  </w:style>
  <w:style w:type="character" w:customStyle="1" w:styleId="TitelZchn">
    <w:name w:val="Titel Zchn"/>
    <w:link w:val="Titel"/>
    <w:uiPriority w:val="10"/>
    <w:rsid w:val="008C7A9B"/>
    <w:rPr>
      <w:rFonts w:ascii="Arial" w:eastAsia="Times New Roman" w:hAnsi="Arial" w:cs="Times New Roman"/>
      <w:color w:val="007FC3"/>
      <w:spacing w:val="5"/>
      <w:kern w:val="28"/>
      <w:sz w:val="32"/>
      <w:szCs w:val="52"/>
    </w:rPr>
  </w:style>
  <w:style w:type="character" w:customStyle="1" w:styleId="berschrift1Zchn">
    <w:name w:val="Überschrift 1 Zchn"/>
    <w:aliases w:val="Überschrift Zchn"/>
    <w:link w:val="berschrift1"/>
    <w:uiPriority w:val="9"/>
    <w:rsid w:val="000B2341"/>
    <w:rPr>
      <w:rFonts w:ascii="Arial" w:hAnsi="Arial"/>
      <w:b/>
      <w:bCs/>
      <w:sz w:val="28"/>
      <w:szCs w:val="28"/>
    </w:rPr>
  </w:style>
  <w:style w:type="character" w:customStyle="1" w:styleId="berschrift2Zchn">
    <w:name w:val="Überschrift 2 Zchn"/>
    <w:aliases w:val="Zwischenüberschrift Zchn"/>
    <w:link w:val="berschrift2"/>
    <w:uiPriority w:val="9"/>
    <w:rsid w:val="008C7A9B"/>
    <w:rPr>
      <w:rFonts w:ascii="Arial" w:eastAsia="Times New Roman" w:hAnsi="Arial" w:cs="Times New Roman"/>
      <w:b/>
      <w:bCs/>
      <w:szCs w:val="26"/>
    </w:rPr>
  </w:style>
  <w:style w:type="character" w:customStyle="1" w:styleId="berschrift3Zchn">
    <w:name w:val="Überschrift 3 Zchn"/>
    <w:aliases w:val="Subline Zchn"/>
    <w:basedOn w:val="Absatz-Standardschriftart"/>
    <w:link w:val="berschrift3"/>
    <w:uiPriority w:val="9"/>
    <w:rsid w:val="000B2341"/>
    <w:rPr>
      <w:rFonts w:ascii="Arial" w:eastAsiaTheme="majorEastAsia" w:hAnsi="Arial" w:cstheme="majorBidi"/>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zenre\AppData\Local\Temp\notesAF3A78\Test_Template_Presseinformat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f45748d719f6212ca86483ac71d816bd">
  <xsd:schema xmlns:xsd="http://www.w3.org/2001/XMLSchema" xmlns:p="http://schemas.microsoft.com/office/2006/metadata/properties" xmlns:ns1="http://schemas.microsoft.com/sharepoint/v3" targetNamespace="http://schemas.microsoft.com/office/2006/metadata/properties" ma:root="true" ma:fieldsID="2c97f1019e24323e6daf708d07b157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CDCC-564F-4B6C-A6D3-3D4DA6C59368}">
  <ds:schemaRefs>
    <ds:schemaRef ds:uri="http://schemas.microsoft.com/sharepoint/v3/contenttype/forms"/>
  </ds:schemaRefs>
</ds:datastoreItem>
</file>

<file path=customXml/itemProps2.xml><?xml version="1.0" encoding="utf-8"?>
<ds:datastoreItem xmlns:ds="http://schemas.openxmlformats.org/officeDocument/2006/customXml" ds:itemID="{2914C14D-7A90-49AE-B062-6B555C1DD6CF}">
  <ds:schemaRefs>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purl.org/dc/elements/1.1/"/>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98FA9A95-9184-40D8-BBE7-533BFC2F9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FB8EBF-D7B5-40EE-8BD5-37AC8786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Test_Template_Presseinformation.dotx</Template>
  <TotalTime>0</TotalTime>
  <Pages>2</Pages>
  <Words>560</Words>
  <Characters>3530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2014-04-08_Pressemeldung_Bilanzkennzahlen_2013_final_e.docx</vt:lpstr>
    </vt:vector>
  </TitlesOfParts>
  <Company>SICK</Company>
  <LinksUpToDate>false</LinksUpToDate>
  <CharactersWithSpaces>4082</CharactersWithSpaces>
  <SharedDoc>false</SharedDoc>
  <HLinks>
    <vt:vector size="6" baseType="variant">
      <vt:variant>
        <vt:i4>7995484</vt:i4>
      </vt:variant>
      <vt:variant>
        <vt:i4>0</vt:i4>
      </vt:variant>
      <vt:variant>
        <vt:i4>0</vt:i4>
      </vt:variant>
      <vt:variant>
        <vt:i4>5</vt:i4>
      </vt:variant>
      <vt:variant>
        <vt:lpwstr>http://www.sick.com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2014-04-08_Pressemeldung_Bilanzkennzahlen_2013_final_e.docx</dc:title>
  <dc:creator>Regina Elzenbeck</dc:creator>
  <cp:lastModifiedBy>Evelyn Goetz</cp:lastModifiedBy>
  <cp:revision>2</cp:revision>
  <cp:lastPrinted>2014-04-08T08:34:00Z</cp:lastPrinted>
  <dcterms:created xsi:type="dcterms:W3CDTF">2014-10-22T08:38:00Z</dcterms:created>
  <dcterms:modified xsi:type="dcterms:W3CDTF">2014-10-22T08:38:00Z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