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6374FF" w:rsidP="00E273D4">
      <w:pPr>
        <w:pStyle w:val="berschrift1"/>
      </w:pPr>
      <w:bookmarkStart w:id="0" w:name="_GoBack"/>
      <w:bookmarkEnd w:id="0"/>
      <w:r w:rsidRPr="009E7824">
        <w:rPr>
          <w:rFonts w:cs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8577D" wp14:editId="01D13978">
                <wp:simplePos x="0" y="0"/>
                <wp:positionH relativeFrom="column">
                  <wp:posOffset>8969375</wp:posOffset>
                </wp:positionH>
                <wp:positionV relativeFrom="paragraph">
                  <wp:posOffset>577850</wp:posOffset>
                </wp:positionV>
                <wp:extent cx="2241779" cy="307659"/>
                <wp:effectExtent l="0" t="571500" r="0" b="5689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79352">
                          <a:off x="0" y="0"/>
                          <a:ext cx="2241779" cy="3076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294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6374FF" w:rsidRPr="009E7824" w:rsidRDefault="006374FF" w:rsidP="006374FF">
                            <w:pPr>
                              <w:spacing w:line="336" w:lineRule="exact"/>
                              <w:rPr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9E7824">
                              <w:rPr>
                                <w:color w:val="F29400"/>
                                <w:sz w:val="32"/>
                                <w:szCs w:val="32"/>
                              </w:rPr>
                              <w:t>Sperrfrist bis: 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06.25pt;margin-top:45.5pt;width:176.5pt;height:24.25pt;rotation:-187940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" filled="f" strokecolor="#f29400">
                <v:textbox>
                  <w:txbxContent>
                    <w:p w:rsidR="006374FF" w:rsidRPr="009E7824" w:rsidRDefault="006374FF" w:rsidP="006374FF">
                      <w:pPr>
                        <w:spacing w:line="336" w:lineRule="exact"/>
                        <w:rPr>
                          <w:color w:val="FFC000"/>
                          <w:sz w:val="32"/>
                          <w:szCs w:val="32"/>
                        </w:rPr>
                      </w:pPr>
                      <w:r w:rsidRPr="009E7824">
                        <w:rPr>
                          <w:color w:val="F29400"/>
                          <w:sz w:val="32"/>
                          <w:szCs w:val="32"/>
                        </w:rPr>
                        <w:t>Sperrfrist bis: tt.mm.jjjj</w:t>
                      </w:r>
                    </w:p>
                  </w:txbxContent>
                </v:textbox>
              </v:shape>
            </w:pict>
          </mc:Fallback>
        </mc:AlternateContent>
      </w:r>
      <w:r w:rsidR="003B68BC" w:rsidRPr="0004016D">
        <w:t>SICK</w:t>
      </w:r>
      <w:r w:rsidR="003B68BC" w:rsidRPr="003B68BC">
        <w:t xml:space="preserve"> </w:t>
      </w:r>
      <w:r w:rsidR="000D23CA">
        <w:t>wächst weiter</w:t>
      </w:r>
    </w:p>
    <w:p w:rsidR="00D73797" w:rsidRDefault="003B68BC" w:rsidP="00D73797">
      <w:pPr>
        <w:pStyle w:val="Untertitel"/>
      </w:pPr>
      <w:r w:rsidRPr="0004016D">
        <w:t>Sensorhersteller</w:t>
      </w:r>
      <w:r w:rsidRPr="003B68BC">
        <w:t xml:space="preserve"> </w:t>
      </w:r>
      <w:r w:rsidR="00CC7EAA">
        <w:t>feiert sein 70</w:t>
      </w:r>
      <w:r w:rsidR="000B7C82">
        <w:t>-</w:t>
      </w:r>
      <w:r w:rsidR="00CC7EAA">
        <w:t>jähriges</w:t>
      </w:r>
      <w:r w:rsidR="000D23CA">
        <w:t xml:space="preserve"> Jubiläum mit </w:t>
      </w:r>
      <w:r w:rsidR="00C46C14">
        <w:t xml:space="preserve">erfreulichen </w:t>
      </w:r>
      <w:r w:rsidR="000D23CA">
        <w:t xml:space="preserve">Geschäftszahlen </w:t>
      </w:r>
    </w:p>
    <w:p w:rsidR="00D73797" w:rsidRDefault="00D73797" w:rsidP="00D73797"/>
    <w:p w:rsidR="00D73797" w:rsidRDefault="00D73797" w:rsidP="00D73797"/>
    <w:p w:rsidR="00DD4751" w:rsidRPr="00AE39C0" w:rsidRDefault="003B68BC" w:rsidP="00D36503">
      <w:pPr>
        <w:pStyle w:val="Lead"/>
      </w:pPr>
      <w:r w:rsidRPr="003B68BC">
        <w:t>Waldkirch</w:t>
      </w:r>
      <w:r w:rsidR="00082311">
        <w:t>, 20. April 2016</w:t>
      </w:r>
      <w:r w:rsidRPr="003B68BC">
        <w:t xml:space="preserve"> – Der SICK-Konzern </w:t>
      </w:r>
      <w:r w:rsidR="00082311">
        <w:t xml:space="preserve">hat seine erfolgreiche Unternehmensentwicklung auch im 70. </w:t>
      </w:r>
      <w:r w:rsidR="00082311" w:rsidRPr="0004016D">
        <w:t>Jahr</w:t>
      </w:r>
      <w:r w:rsidR="00082311">
        <w:t xml:space="preserve"> seines </w:t>
      </w:r>
      <w:r w:rsidR="00082311" w:rsidRPr="0004016D">
        <w:t>Bestehens</w:t>
      </w:r>
      <w:r w:rsidR="00082311">
        <w:t xml:space="preserve"> fortgesetzt. </w:t>
      </w:r>
      <w:r w:rsidR="00CC1D58" w:rsidRPr="0004016D">
        <w:t>D</w:t>
      </w:r>
      <w:r w:rsidR="00C46C14" w:rsidRPr="0004016D">
        <w:t>as</w:t>
      </w:r>
      <w:r w:rsidR="00C46C14">
        <w:t xml:space="preserve"> </w:t>
      </w:r>
      <w:r w:rsidR="00CC1D58">
        <w:t xml:space="preserve">1946 von Dr. Erwin Sick </w:t>
      </w:r>
      <w:r w:rsidR="00C46C14">
        <w:t xml:space="preserve">als </w:t>
      </w:r>
      <w:r w:rsidR="00C46C14" w:rsidRPr="0004016D">
        <w:t>Ein-Mann-Betrieb</w:t>
      </w:r>
      <w:r w:rsidR="00C46C14">
        <w:t xml:space="preserve"> </w:t>
      </w:r>
      <w:r w:rsidR="00CC1D58">
        <w:t xml:space="preserve">gegründete </w:t>
      </w:r>
      <w:r w:rsidR="00C46C14">
        <w:t xml:space="preserve">Unternehmen </w:t>
      </w:r>
      <w:r w:rsidR="00CC1D58" w:rsidRPr="0004016D">
        <w:t>hat</w:t>
      </w:r>
      <w:r w:rsidR="00CC1D58">
        <w:t xml:space="preserve"> sich in den vergangenen sieben Jahrzehnten stetig zu einem weltweiten Technologie- und Marktführer im Bereich der Sensorik für industrielle Anwendungen </w:t>
      </w:r>
      <w:r w:rsidR="00CC1D58" w:rsidRPr="0004016D">
        <w:t>entwickelt</w:t>
      </w:r>
      <w:r w:rsidR="00CC1D58">
        <w:t xml:space="preserve">, der im </w:t>
      </w:r>
      <w:r w:rsidR="00CC1D58" w:rsidRPr="0004016D">
        <w:t>Geschäftsjahr</w:t>
      </w:r>
      <w:r w:rsidR="00CC1D58">
        <w:t xml:space="preserve"> 2015 7.417 Mitarbeiter beschäftigte und einen </w:t>
      </w:r>
      <w:r w:rsidR="00CC1D58" w:rsidRPr="0004016D">
        <w:t>Umsatz</w:t>
      </w:r>
      <w:r w:rsidR="00CC1D58">
        <w:t xml:space="preserve"> von 1.267,6 </w:t>
      </w:r>
      <w:r w:rsidR="00CC1D58" w:rsidRPr="0004016D">
        <w:t>Mio. Euro</w:t>
      </w:r>
      <w:r w:rsidR="00CC1D58">
        <w:t xml:space="preserve"> </w:t>
      </w:r>
      <w:r w:rsidR="00CC1D58" w:rsidRPr="0004016D">
        <w:t>erzielte</w:t>
      </w:r>
      <w:r w:rsidR="00CC1D58">
        <w:t>.</w:t>
      </w:r>
      <w:r w:rsidR="003D12C2">
        <w:t xml:space="preserve"> </w:t>
      </w:r>
      <w:r w:rsidR="003D12C2" w:rsidRPr="0004016D">
        <w:t>Das</w:t>
      </w:r>
      <w:r w:rsidR="003D12C2">
        <w:t xml:space="preserve"> </w:t>
      </w:r>
      <w:r w:rsidR="003D12C2" w:rsidRPr="0004016D">
        <w:t>Ergebnis vor Zinsen und Steuern</w:t>
      </w:r>
      <w:r w:rsidR="003D12C2">
        <w:t xml:space="preserve"> (</w:t>
      </w:r>
      <w:r w:rsidR="003D12C2" w:rsidRPr="0004016D">
        <w:t>EBIT</w:t>
      </w:r>
      <w:r w:rsidR="003D12C2">
        <w:t xml:space="preserve">) betrug 129,1 </w:t>
      </w:r>
      <w:r w:rsidR="003D12C2" w:rsidRPr="0004016D">
        <w:t>Mio. Euro</w:t>
      </w:r>
      <w:r w:rsidR="003D12C2">
        <w:t>.</w:t>
      </w:r>
    </w:p>
    <w:p w:rsidR="006F6DE2" w:rsidRPr="00AE39C0" w:rsidRDefault="009133CB" w:rsidP="008B6429">
      <w:pPr>
        <w:rPr>
          <w:rFonts w:cs="Arial"/>
          <w:szCs w:val="20"/>
        </w:rPr>
      </w:pPr>
      <w:r w:rsidRPr="0004016D">
        <w:rPr>
          <w:rFonts w:cs="Arial"/>
          <w:szCs w:val="20"/>
        </w:rPr>
        <w:t>Der</w:t>
      </w:r>
      <w:r w:rsidR="00CC1D58" w:rsidRPr="0004016D">
        <w:rPr>
          <w:rFonts w:cs="Arial"/>
          <w:szCs w:val="20"/>
        </w:rPr>
        <w:t xml:space="preserve"> </w:t>
      </w:r>
      <w:r w:rsidR="00CC1D58">
        <w:rPr>
          <w:rFonts w:cs="Arial"/>
          <w:szCs w:val="20"/>
        </w:rPr>
        <w:t>Pionie</w:t>
      </w:r>
      <w:r>
        <w:rPr>
          <w:rFonts w:cs="Arial"/>
          <w:szCs w:val="20"/>
        </w:rPr>
        <w:t xml:space="preserve">rgeist des Unternehmensgründers </w:t>
      </w:r>
      <w:r w:rsidR="00E4769F">
        <w:rPr>
          <w:rFonts w:cs="Arial"/>
          <w:szCs w:val="20"/>
        </w:rPr>
        <w:t xml:space="preserve">ist bis heute im </w:t>
      </w:r>
      <w:r>
        <w:rPr>
          <w:rFonts w:cs="Arial"/>
          <w:szCs w:val="20"/>
        </w:rPr>
        <w:t xml:space="preserve">SICK-Konzern </w:t>
      </w:r>
      <w:r w:rsidR="00E4769F">
        <w:rPr>
          <w:rFonts w:cs="Arial"/>
          <w:szCs w:val="20"/>
        </w:rPr>
        <w:t xml:space="preserve">präsent </w:t>
      </w:r>
      <w:r w:rsidRPr="0004016D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hat entscheidend dazu beigetragen, dass das </w:t>
      </w:r>
      <w:r w:rsidRPr="0004016D">
        <w:rPr>
          <w:rFonts w:cs="Arial"/>
          <w:szCs w:val="20"/>
        </w:rPr>
        <w:t>Unternehmen</w:t>
      </w:r>
      <w:r>
        <w:rPr>
          <w:rFonts w:cs="Arial"/>
          <w:szCs w:val="20"/>
        </w:rPr>
        <w:t xml:space="preserve"> auch im vergangenen </w:t>
      </w:r>
      <w:r w:rsidRPr="0004016D">
        <w:rPr>
          <w:rFonts w:cs="Arial"/>
          <w:szCs w:val="20"/>
        </w:rPr>
        <w:t>Geschäftsjahr</w:t>
      </w:r>
      <w:r>
        <w:rPr>
          <w:rFonts w:cs="Arial"/>
          <w:szCs w:val="20"/>
        </w:rPr>
        <w:t xml:space="preserve"> mit </w:t>
      </w:r>
      <w:r w:rsidR="00CC1D58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nnovativen Lösungen </w:t>
      </w:r>
      <w:r w:rsidR="00CC1D58">
        <w:rPr>
          <w:rFonts w:cs="Arial"/>
          <w:szCs w:val="20"/>
        </w:rPr>
        <w:t>Maßs</w:t>
      </w:r>
      <w:r>
        <w:rPr>
          <w:rFonts w:cs="Arial"/>
          <w:szCs w:val="20"/>
        </w:rPr>
        <w:t xml:space="preserve">täbe in der </w:t>
      </w:r>
      <w:r w:rsidRPr="0004016D">
        <w:rPr>
          <w:rFonts w:cs="Arial"/>
          <w:szCs w:val="20"/>
        </w:rPr>
        <w:t>Sensortechnologie</w:t>
      </w:r>
      <w:r>
        <w:rPr>
          <w:rFonts w:cs="Arial"/>
          <w:szCs w:val="20"/>
        </w:rPr>
        <w:t xml:space="preserve"> gesetzt </w:t>
      </w:r>
      <w:r w:rsidRPr="0004016D">
        <w:rPr>
          <w:rFonts w:cs="Arial"/>
          <w:szCs w:val="20"/>
        </w:rPr>
        <w:t>hat</w:t>
      </w:r>
      <w:r>
        <w:rPr>
          <w:rFonts w:cs="Arial"/>
          <w:szCs w:val="20"/>
        </w:rPr>
        <w:t xml:space="preserve">. Dementsprechend ist der </w:t>
      </w:r>
      <w:r w:rsidRPr="0004016D">
        <w:rPr>
          <w:rFonts w:cs="Arial"/>
          <w:szCs w:val="20"/>
        </w:rPr>
        <w:t>Umsatz</w:t>
      </w:r>
      <w:r>
        <w:rPr>
          <w:rFonts w:cs="Arial"/>
          <w:szCs w:val="20"/>
        </w:rPr>
        <w:t xml:space="preserve"> um 15,3 Prozent auf 1.267,6 </w:t>
      </w:r>
      <w:r w:rsidRPr="0004016D">
        <w:rPr>
          <w:rFonts w:cs="Arial"/>
          <w:szCs w:val="20"/>
        </w:rPr>
        <w:t>Mio. Euro</w:t>
      </w:r>
      <w:r>
        <w:rPr>
          <w:rFonts w:cs="Arial"/>
          <w:szCs w:val="20"/>
        </w:rPr>
        <w:t xml:space="preserve"> gestiegen; </w:t>
      </w:r>
      <w:r w:rsidRPr="0004016D">
        <w:rPr>
          <w:rFonts w:cs="Arial"/>
          <w:szCs w:val="20"/>
        </w:rPr>
        <w:t>der</w:t>
      </w:r>
      <w:r>
        <w:rPr>
          <w:rFonts w:cs="Arial"/>
          <w:szCs w:val="20"/>
        </w:rPr>
        <w:t xml:space="preserve"> </w:t>
      </w:r>
      <w:r w:rsidRPr="0004016D">
        <w:rPr>
          <w:rFonts w:cs="Arial"/>
          <w:szCs w:val="20"/>
        </w:rPr>
        <w:t>Auftragseingang</w:t>
      </w:r>
      <w:r>
        <w:rPr>
          <w:rFonts w:cs="Arial"/>
          <w:szCs w:val="20"/>
        </w:rPr>
        <w:t xml:space="preserve"> wuchs um 13,2 Prozent auf 1.270,</w:t>
      </w:r>
      <w:r w:rsidR="00D804BF">
        <w:rPr>
          <w:rFonts w:cs="Arial"/>
          <w:szCs w:val="20"/>
        </w:rPr>
        <w:t xml:space="preserve">5 </w:t>
      </w:r>
      <w:r w:rsidRPr="0004016D">
        <w:rPr>
          <w:rFonts w:cs="Arial"/>
          <w:szCs w:val="20"/>
        </w:rPr>
        <w:t>Mio. Euro</w:t>
      </w:r>
      <w:r>
        <w:rPr>
          <w:rFonts w:cs="Arial"/>
          <w:szCs w:val="20"/>
        </w:rPr>
        <w:t xml:space="preserve">. Nach einem eher verhaltenen Start zogen sowohl </w:t>
      </w:r>
      <w:r w:rsidRPr="0004016D">
        <w:rPr>
          <w:rFonts w:cs="Arial"/>
          <w:szCs w:val="20"/>
        </w:rPr>
        <w:t>Umsatz</w:t>
      </w:r>
      <w:r>
        <w:rPr>
          <w:rFonts w:cs="Arial"/>
          <w:szCs w:val="20"/>
        </w:rPr>
        <w:t xml:space="preserve"> als auch </w:t>
      </w:r>
      <w:r w:rsidRPr="0004016D">
        <w:rPr>
          <w:rFonts w:cs="Arial"/>
          <w:szCs w:val="20"/>
        </w:rPr>
        <w:t>Auftragseingang</w:t>
      </w:r>
      <w:r>
        <w:rPr>
          <w:rFonts w:cs="Arial"/>
          <w:szCs w:val="20"/>
        </w:rPr>
        <w:t xml:space="preserve"> im Laufe des </w:t>
      </w:r>
      <w:r w:rsidRPr="0004016D">
        <w:rPr>
          <w:rFonts w:cs="Arial"/>
          <w:szCs w:val="20"/>
        </w:rPr>
        <w:t>Jahres</w:t>
      </w:r>
      <w:r>
        <w:rPr>
          <w:rFonts w:cs="Arial"/>
          <w:szCs w:val="20"/>
        </w:rPr>
        <w:t xml:space="preserve"> an. </w:t>
      </w:r>
      <w:r w:rsidR="000D23CA">
        <w:rPr>
          <w:rFonts w:cs="Arial"/>
          <w:szCs w:val="20"/>
        </w:rPr>
        <w:t xml:space="preserve">„Ähnlich wie im </w:t>
      </w:r>
      <w:r w:rsidR="000D23CA" w:rsidRPr="0004016D">
        <w:rPr>
          <w:rFonts w:cs="Arial"/>
          <w:szCs w:val="20"/>
        </w:rPr>
        <w:t>Vorjahr</w:t>
      </w:r>
      <w:r w:rsidR="000D23CA">
        <w:rPr>
          <w:rFonts w:cs="Arial"/>
          <w:szCs w:val="20"/>
        </w:rPr>
        <w:t xml:space="preserve"> ist </w:t>
      </w:r>
      <w:r w:rsidR="000D23CA" w:rsidRPr="0004016D">
        <w:rPr>
          <w:rFonts w:cs="Arial"/>
          <w:szCs w:val="20"/>
        </w:rPr>
        <w:t>SICK</w:t>
      </w:r>
      <w:r w:rsidR="000D23CA">
        <w:rPr>
          <w:rFonts w:cs="Arial"/>
          <w:szCs w:val="20"/>
        </w:rPr>
        <w:t xml:space="preserve"> auch 2015 in allen Weltregionen gewachsen. </w:t>
      </w:r>
      <w:r w:rsidR="000D23CA" w:rsidRPr="0004016D">
        <w:rPr>
          <w:rFonts w:cs="Arial"/>
          <w:szCs w:val="20"/>
        </w:rPr>
        <w:t>Besonders</w:t>
      </w:r>
      <w:r w:rsidR="000D23CA">
        <w:rPr>
          <w:rFonts w:cs="Arial"/>
          <w:szCs w:val="20"/>
        </w:rPr>
        <w:t xml:space="preserve"> bemerkenswert ist aber das Umsatzplus in der Region </w:t>
      </w:r>
      <w:r w:rsidR="000D23CA" w:rsidRPr="0004016D">
        <w:rPr>
          <w:rFonts w:cs="Arial"/>
          <w:szCs w:val="20"/>
        </w:rPr>
        <w:t>Americas</w:t>
      </w:r>
      <w:r w:rsidR="000D23CA">
        <w:rPr>
          <w:rFonts w:cs="Arial"/>
          <w:szCs w:val="20"/>
        </w:rPr>
        <w:t xml:space="preserve"> und im asiatisch-pazifischen Raum, </w:t>
      </w:r>
      <w:r w:rsidR="000D23CA" w:rsidRPr="0004016D">
        <w:rPr>
          <w:rFonts w:cs="Arial"/>
          <w:szCs w:val="20"/>
        </w:rPr>
        <w:t>wo</w:t>
      </w:r>
      <w:r w:rsidR="000D23CA">
        <w:rPr>
          <w:rFonts w:cs="Arial"/>
          <w:szCs w:val="20"/>
        </w:rPr>
        <w:t xml:space="preserve"> </w:t>
      </w:r>
      <w:r w:rsidR="000D23CA" w:rsidRPr="0004016D">
        <w:rPr>
          <w:rFonts w:cs="Arial"/>
          <w:szCs w:val="20"/>
        </w:rPr>
        <w:t>wir</w:t>
      </w:r>
      <w:r w:rsidR="000D23CA">
        <w:rPr>
          <w:rFonts w:cs="Arial"/>
          <w:szCs w:val="20"/>
        </w:rPr>
        <w:t xml:space="preserve"> jeweils über 20 Prozent zulegen konnten“, erläuterte</w:t>
      </w:r>
      <w:r w:rsidR="003B68BC" w:rsidRPr="003B68BC">
        <w:rPr>
          <w:rFonts w:cs="Arial"/>
          <w:szCs w:val="20"/>
        </w:rPr>
        <w:t xml:space="preserve"> Finanzvorstand Markus Vatter bei der Veröffent</w:t>
      </w:r>
      <w:r w:rsidR="000D23CA">
        <w:rPr>
          <w:rFonts w:cs="Arial"/>
          <w:szCs w:val="20"/>
        </w:rPr>
        <w:t xml:space="preserve">lichung der </w:t>
      </w:r>
      <w:r w:rsidR="000D23CA" w:rsidRPr="0004016D">
        <w:rPr>
          <w:rFonts w:cs="Arial"/>
          <w:szCs w:val="20"/>
        </w:rPr>
        <w:t>Bilanzkennzahlen</w:t>
      </w:r>
      <w:r w:rsidR="003B68BC" w:rsidRPr="003B68BC">
        <w:rPr>
          <w:rFonts w:cs="Arial"/>
          <w:szCs w:val="20"/>
        </w:rPr>
        <w:t xml:space="preserve">. </w:t>
      </w:r>
      <w:r w:rsidR="000D23CA">
        <w:rPr>
          <w:rFonts w:cs="Arial"/>
          <w:szCs w:val="20"/>
        </w:rPr>
        <w:t xml:space="preserve">In beiden Regionen </w:t>
      </w:r>
      <w:r w:rsidR="00020C18">
        <w:rPr>
          <w:rFonts w:cs="Arial"/>
          <w:szCs w:val="20"/>
        </w:rPr>
        <w:t xml:space="preserve">war </w:t>
      </w:r>
      <w:r w:rsidR="000D23CA">
        <w:rPr>
          <w:rFonts w:cs="Arial"/>
          <w:szCs w:val="20"/>
        </w:rPr>
        <w:t xml:space="preserve">die Nachfrage insbesondere von Kunden aus der Logistik- und </w:t>
      </w:r>
      <w:r w:rsidR="000D23CA" w:rsidRPr="0004016D">
        <w:rPr>
          <w:rFonts w:cs="Arial"/>
          <w:szCs w:val="20"/>
        </w:rPr>
        <w:t>Prozessautomation</w:t>
      </w:r>
      <w:r w:rsidR="000D23CA">
        <w:rPr>
          <w:rFonts w:cs="Arial"/>
          <w:szCs w:val="20"/>
        </w:rPr>
        <w:t xml:space="preserve"> hoch</w:t>
      </w:r>
      <w:r w:rsidR="00020C18">
        <w:rPr>
          <w:rFonts w:cs="Arial"/>
          <w:szCs w:val="20"/>
        </w:rPr>
        <w:t>. Aber auch Währungseffekte begünstigten das Umsatzwachst</w:t>
      </w:r>
      <w:r w:rsidR="006F7D07">
        <w:rPr>
          <w:rFonts w:cs="Arial"/>
          <w:szCs w:val="20"/>
        </w:rPr>
        <w:t xml:space="preserve">um: „In Summe sind knapp </w:t>
      </w:r>
      <w:r w:rsidR="00020C18">
        <w:rPr>
          <w:rFonts w:cs="Arial"/>
          <w:szCs w:val="20"/>
        </w:rPr>
        <w:t xml:space="preserve">sechs Prozent des gesamten Zuwachses auf die </w:t>
      </w:r>
      <w:r w:rsidR="00CC7EAA" w:rsidRPr="0004016D">
        <w:rPr>
          <w:rFonts w:cs="Arial"/>
          <w:szCs w:val="20"/>
        </w:rPr>
        <w:t>Abwertung</w:t>
      </w:r>
      <w:r w:rsidR="00020C18">
        <w:rPr>
          <w:rFonts w:cs="Arial"/>
          <w:szCs w:val="20"/>
        </w:rPr>
        <w:t xml:space="preserve"> des </w:t>
      </w:r>
      <w:r w:rsidR="00020C18" w:rsidRPr="0004016D">
        <w:rPr>
          <w:rFonts w:cs="Arial"/>
          <w:szCs w:val="20"/>
        </w:rPr>
        <w:t>Euro</w:t>
      </w:r>
      <w:r w:rsidR="00020C18">
        <w:rPr>
          <w:rFonts w:cs="Arial"/>
          <w:szCs w:val="20"/>
        </w:rPr>
        <w:t xml:space="preserve"> insbesondere gegenüber dem </w:t>
      </w:r>
      <w:r w:rsidR="00020C18" w:rsidRPr="0004016D">
        <w:rPr>
          <w:rFonts w:cs="Arial"/>
          <w:szCs w:val="20"/>
        </w:rPr>
        <w:t>US-Dollar</w:t>
      </w:r>
      <w:r w:rsidR="00020C18">
        <w:rPr>
          <w:rFonts w:cs="Arial"/>
          <w:szCs w:val="20"/>
        </w:rPr>
        <w:t xml:space="preserve"> und dem chinesischen </w:t>
      </w:r>
      <w:r w:rsidR="00020C18" w:rsidRPr="0004016D">
        <w:rPr>
          <w:rFonts w:cs="Arial"/>
          <w:szCs w:val="20"/>
        </w:rPr>
        <w:t>Renminbi</w:t>
      </w:r>
      <w:r w:rsidR="00020C18">
        <w:rPr>
          <w:rFonts w:cs="Arial"/>
          <w:szCs w:val="20"/>
        </w:rPr>
        <w:t xml:space="preserve"> zurückzuführen“, so </w:t>
      </w:r>
      <w:r w:rsidR="00020C18" w:rsidRPr="0004016D">
        <w:rPr>
          <w:rFonts w:cs="Arial"/>
          <w:szCs w:val="20"/>
        </w:rPr>
        <w:t>Vatter</w:t>
      </w:r>
      <w:r w:rsidR="00020C18">
        <w:rPr>
          <w:rFonts w:cs="Arial"/>
          <w:szCs w:val="20"/>
        </w:rPr>
        <w:t xml:space="preserve"> weiter. </w:t>
      </w:r>
    </w:p>
    <w:p w:rsidR="00F7375F" w:rsidRPr="00F7375F" w:rsidRDefault="00C46C14" w:rsidP="00F7375F">
      <w:pPr>
        <w:pStyle w:val="berschrift2"/>
      </w:pPr>
      <w:r>
        <w:t>Umsatzwachstum führt zu hervorragender Ergebnisentwicklung</w:t>
      </w:r>
    </w:p>
    <w:p w:rsidR="00E273D4" w:rsidRDefault="003D12C2" w:rsidP="008B6429">
      <w:pPr>
        <w:rPr>
          <w:rFonts w:cs="Arial"/>
          <w:szCs w:val="20"/>
        </w:rPr>
      </w:pPr>
      <w:r w:rsidRPr="0004016D">
        <w:rPr>
          <w:rFonts w:cs="Arial"/>
          <w:szCs w:val="20"/>
        </w:rPr>
        <w:t xml:space="preserve">Das </w:t>
      </w:r>
      <w:r w:rsidR="006A6549">
        <w:rPr>
          <w:rFonts w:cs="Arial"/>
          <w:szCs w:val="20"/>
        </w:rPr>
        <w:t xml:space="preserve">starke </w:t>
      </w:r>
      <w:r>
        <w:rPr>
          <w:rFonts w:cs="Arial"/>
          <w:szCs w:val="20"/>
        </w:rPr>
        <w:t xml:space="preserve">Umsatzwachstum spiegelt sich im </w:t>
      </w:r>
      <w:r w:rsidR="003B68BC" w:rsidRPr="0004016D">
        <w:rPr>
          <w:rFonts w:cs="Arial"/>
          <w:szCs w:val="20"/>
        </w:rPr>
        <w:t>Ergebnis vor Zinsen und Steuern</w:t>
      </w:r>
      <w:r w:rsidR="003B68BC" w:rsidRPr="003B68BC">
        <w:rPr>
          <w:rFonts w:cs="Arial"/>
          <w:szCs w:val="20"/>
        </w:rPr>
        <w:t xml:space="preserve"> (</w:t>
      </w:r>
      <w:r w:rsidR="003B68BC" w:rsidRPr="0004016D">
        <w:rPr>
          <w:rFonts w:cs="Arial"/>
          <w:szCs w:val="20"/>
        </w:rPr>
        <w:t>EBIT</w:t>
      </w:r>
      <w:r w:rsidR="003B68BC" w:rsidRPr="003B68BC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wider: </w:t>
      </w:r>
      <w:r w:rsidRPr="0004016D">
        <w:rPr>
          <w:rFonts w:cs="Arial"/>
          <w:szCs w:val="20"/>
        </w:rPr>
        <w:t>Das</w:t>
      </w:r>
      <w:r>
        <w:rPr>
          <w:rFonts w:cs="Arial"/>
          <w:szCs w:val="20"/>
        </w:rPr>
        <w:t xml:space="preserve"> </w:t>
      </w:r>
      <w:r w:rsidRPr="0004016D">
        <w:rPr>
          <w:rFonts w:cs="Arial"/>
          <w:szCs w:val="20"/>
        </w:rPr>
        <w:t>EBIT</w:t>
      </w:r>
      <w:r>
        <w:rPr>
          <w:rFonts w:cs="Arial"/>
          <w:szCs w:val="20"/>
        </w:rPr>
        <w:t xml:space="preserve"> betrug 129,1 </w:t>
      </w:r>
      <w:r w:rsidRPr="0004016D">
        <w:rPr>
          <w:rFonts w:cs="Arial"/>
          <w:szCs w:val="20"/>
        </w:rPr>
        <w:t>Mio. Euro</w:t>
      </w:r>
      <w:r>
        <w:rPr>
          <w:rFonts w:cs="Arial"/>
          <w:szCs w:val="20"/>
        </w:rPr>
        <w:t xml:space="preserve"> und wuchs mit einem Plus von 25,1 Prozent stärker als der </w:t>
      </w:r>
      <w:r w:rsidRPr="0004016D">
        <w:rPr>
          <w:rFonts w:cs="Arial"/>
          <w:szCs w:val="20"/>
        </w:rPr>
        <w:t>Umsatz</w:t>
      </w:r>
      <w:r>
        <w:rPr>
          <w:rFonts w:cs="Arial"/>
          <w:szCs w:val="20"/>
        </w:rPr>
        <w:t xml:space="preserve">. </w:t>
      </w:r>
      <w:r w:rsidR="00C46C14">
        <w:rPr>
          <w:rFonts w:cs="Arial"/>
          <w:szCs w:val="20"/>
        </w:rPr>
        <w:t>H</w:t>
      </w:r>
      <w:r>
        <w:rPr>
          <w:rFonts w:cs="Arial"/>
          <w:szCs w:val="20"/>
        </w:rPr>
        <w:t xml:space="preserve">ier machten sich </w:t>
      </w:r>
      <w:r w:rsidR="00C46C14">
        <w:rPr>
          <w:rFonts w:cs="Arial"/>
          <w:szCs w:val="20"/>
        </w:rPr>
        <w:t xml:space="preserve">erneut </w:t>
      </w:r>
      <w:r>
        <w:rPr>
          <w:rFonts w:cs="Arial"/>
          <w:szCs w:val="20"/>
        </w:rPr>
        <w:t>Währungseinflüsse, aber auch ein verbesserter Materia</w:t>
      </w:r>
      <w:r w:rsidR="006A6549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einsatz in der Produktion bemerkbar. </w:t>
      </w:r>
      <w:r w:rsidR="003B68BC" w:rsidRPr="0004016D">
        <w:rPr>
          <w:rFonts w:cs="Arial"/>
          <w:szCs w:val="20"/>
        </w:rPr>
        <w:t>Die</w:t>
      </w:r>
      <w:r w:rsidR="003B68BC" w:rsidRPr="003B68BC">
        <w:rPr>
          <w:rFonts w:cs="Arial"/>
          <w:szCs w:val="20"/>
        </w:rPr>
        <w:t xml:space="preserve"> EBIT-Marge </w:t>
      </w:r>
      <w:r>
        <w:rPr>
          <w:rFonts w:cs="Arial"/>
          <w:szCs w:val="20"/>
        </w:rPr>
        <w:t xml:space="preserve">bezogen auf den </w:t>
      </w:r>
      <w:r w:rsidRPr="0004016D">
        <w:rPr>
          <w:rFonts w:cs="Arial"/>
          <w:szCs w:val="20"/>
        </w:rPr>
        <w:t>Umsatz</w:t>
      </w:r>
      <w:r>
        <w:rPr>
          <w:rFonts w:cs="Arial"/>
          <w:szCs w:val="20"/>
        </w:rPr>
        <w:t xml:space="preserve"> erreichte folglich einen zweistelligen </w:t>
      </w:r>
      <w:r w:rsidRPr="0004016D">
        <w:rPr>
          <w:rFonts w:cs="Arial"/>
          <w:szCs w:val="20"/>
        </w:rPr>
        <w:t>Wert</w:t>
      </w:r>
      <w:r>
        <w:rPr>
          <w:rFonts w:cs="Arial"/>
          <w:szCs w:val="20"/>
        </w:rPr>
        <w:t xml:space="preserve"> </w:t>
      </w:r>
      <w:r w:rsidRPr="0004016D">
        <w:rPr>
          <w:rFonts w:cs="Arial"/>
          <w:szCs w:val="20"/>
        </w:rPr>
        <w:t>und</w:t>
      </w:r>
      <w:r>
        <w:rPr>
          <w:rFonts w:cs="Arial"/>
          <w:szCs w:val="20"/>
        </w:rPr>
        <w:t xml:space="preserve"> belief sich auf 10,2 Prozent (</w:t>
      </w:r>
      <w:r w:rsidRPr="0004016D">
        <w:rPr>
          <w:rFonts w:cs="Arial"/>
          <w:szCs w:val="20"/>
        </w:rPr>
        <w:t>Vorjahr</w:t>
      </w:r>
      <w:r>
        <w:rPr>
          <w:rFonts w:cs="Arial"/>
          <w:szCs w:val="20"/>
        </w:rPr>
        <w:t xml:space="preserve">: 9,4 Prozent). </w:t>
      </w:r>
      <w:r w:rsidR="00C46C14">
        <w:rPr>
          <w:rFonts w:cs="Arial"/>
          <w:szCs w:val="20"/>
        </w:rPr>
        <w:t>Nach Abzug der Steuerbelastung bleibt – u.</w:t>
      </w:r>
      <w:r w:rsidR="00747C14">
        <w:rPr>
          <w:rFonts w:cs="Arial"/>
          <w:szCs w:val="20"/>
        </w:rPr>
        <w:t> </w:t>
      </w:r>
      <w:r w:rsidR="00C46C14">
        <w:rPr>
          <w:rFonts w:cs="Arial"/>
          <w:szCs w:val="20"/>
        </w:rPr>
        <w:t>a. auch aufgrund der günstigen Entwicklung des Zinsniveaus – ein J</w:t>
      </w:r>
      <w:r w:rsidR="003B68BC" w:rsidRPr="003B68BC">
        <w:rPr>
          <w:rFonts w:cs="Arial"/>
          <w:szCs w:val="20"/>
        </w:rPr>
        <w:t xml:space="preserve">ahresergebnis in Höhe von </w:t>
      </w:r>
      <w:r>
        <w:rPr>
          <w:rFonts w:cs="Arial"/>
          <w:szCs w:val="20"/>
        </w:rPr>
        <w:t>90,8</w:t>
      </w:r>
      <w:r w:rsidR="003B68BC" w:rsidRPr="003B68BC">
        <w:rPr>
          <w:rFonts w:cs="Arial"/>
          <w:szCs w:val="20"/>
        </w:rPr>
        <w:t xml:space="preserve"> </w:t>
      </w:r>
      <w:r w:rsidR="003B68BC" w:rsidRPr="0004016D">
        <w:rPr>
          <w:rFonts w:cs="Arial"/>
          <w:szCs w:val="20"/>
        </w:rPr>
        <w:t>Mio. Euro</w:t>
      </w:r>
      <w:r w:rsidR="00C46C14">
        <w:rPr>
          <w:rFonts w:cs="Arial"/>
          <w:szCs w:val="20"/>
        </w:rPr>
        <w:t xml:space="preserve">. Dies kommt einem Plus von </w:t>
      </w:r>
      <w:r>
        <w:rPr>
          <w:rFonts w:cs="Arial"/>
          <w:szCs w:val="20"/>
        </w:rPr>
        <w:t>30,</w:t>
      </w:r>
      <w:r w:rsidR="00AA03E0">
        <w:rPr>
          <w:rFonts w:cs="Arial"/>
          <w:szCs w:val="20"/>
        </w:rPr>
        <w:t>1</w:t>
      </w:r>
      <w:r w:rsidR="00257FF3" w:rsidRPr="003B68BC">
        <w:rPr>
          <w:rFonts w:cs="Arial"/>
          <w:szCs w:val="20"/>
        </w:rPr>
        <w:t xml:space="preserve"> </w:t>
      </w:r>
      <w:r w:rsidR="003B68BC" w:rsidRPr="003B68BC">
        <w:rPr>
          <w:rFonts w:cs="Arial"/>
          <w:szCs w:val="20"/>
        </w:rPr>
        <w:t>Prozent</w:t>
      </w:r>
      <w:r w:rsidR="00C46C14">
        <w:rPr>
          <w:rFonts w:cs="Arial"/>
          <w:szCs w:val="20"/>
        </w:rPr>
        <w:t xml:space="preserve"> gegenüber 2014 gleich. </w:t>
      </w:r>
      <w:r w:rsidR="003B68BC" w:rsidRPr="0004016D">
        <w:rPr>
          <w:rFonts w:cs="Arial"/>
          <w:szCs w:val="20"/>
        </w:rPr>
        <w:t>Die</w:t>
      </w:r>
      <w:r w:rsidR="003B68BC" w:rsidRPr="003B68BC">
        <w:rPr>
          <w:rFonts w:cs="Arial"/>
          <w:szCs w:val="20"/>
        </w:rPr>
        <w:t xml:space="preserve"> </w:t>
      </w:r>
      <w:r w:rsidR="003B68BC" w:rsidRPr="0004016D">
        <w:rPr>
          <w:rFonts w:cs="Arial"/>
          <w:szCs w:val="20"/>
        </w:rPr>
        <w:t>Netto-Umsatzrendite</w:t>
      </w:r>
      <w:r w:rsidR="003B68BC" w:rsidRPr="003B68BC">
        <w:rPr>
          <w:rFonts w:cs="Arial"/>
          <w:szCs w:val="20"/>
        </w:rPr>
        <w:t xml:space="preserve"> stieg auf </w:t>
      </w:r>
      <w:r>
        <w:rPr>
          <w:rFonts w:cs="Arial"/>
          <w:szCs w:val="20"/>
        </w:rPr>
        <w:t>7,2 Prozent (</w:t>
      </w:r>
      <w:r w:rsidRPr="0004016D">
        <w:rPr>
          <w:rFonts w:cs="Arial"/>
          <w:szCs w:val="20"/>
        </w:rPr>
        <w:t>Vorjahr</w:t>
      </w:r>
      <w:r>
        <w:rPr>
          <w:rFonts w:cs="Arial"/>
          <w:szCs w:val="20"/>
        </w:rPr>
        <w:t>: 6,3 Prozent).</w:t>
      </w:r>
    </w:p>
    <w:p w:rsidR="003B68BC" w:rsidRPr="00F7375F" w:rsidRDefault="00180A76" w:rsidP="003B68BC">
      <w:pPr>
        <w:pStyle w:val="berschrift2"/>
      </w:pPr>
      <w:r>
        <w:t>Beschäftigtenzahl weltweit angestiegen</w:t>
      </w:r>
    </w:p>
    <w:p w:rsidR="003B68BC" w:rsidRDefault="00C46C14" w:rsidP="008B6429">
      <w:pPr>
        <w:rPr>
          <w:rFonts w:cs="Arial"/>
          <w:szCs w:val="20"/>
        </w:rPr>
      </w:pPr>
      <w:r w:rsidRPr="0004016D">
        <w:rPr>
          <w:rFonts w:cs="Arial"/>
          <w:szCs w:val="20"/>
        </w:rPr>
        <w:t xml:space="preserve">Die </w:t>
      </w:r>
      <w:r>
        <w:rPr>
          <w:rFonts w:cs="Arial"/>
          <w:szCs w:val="20"/>
        </w:rPr>
        <w:t xml:space="preserve">Entwicklung innovativer </w:t>
      </w:r>
      <w:r w:rsidRPr="0004016D">
        <w:rPr>
          <w:rFonts w:cs="Arial"/>
          <w:szCs w:val="20"/>
        </w:rPr>
        <w:t>Sensorlösungen</w:t>
      </w:r>
      <w:r>
        <w:rPr>
          <w:rFonts w:cs="Arial"/>
          <w:szCs w:val="20"/>
        </w:rPr>
        <w:t xml:space="preserve"> ist untrennbar mit der Investition in die Kompetenz der Mitarbeiter verbunden. </w:t>
      </w:r>
      <w:r w:rsidRPr="0004016D">
        <w:rPr>
          <w:rFonts w:cs="Arial"/>
          <w:szCs w:val="20"/>
        </w:rPr>
        <w:t>SICK</w:t>
      </w:r>
      <w:r>
        <w:rPr>
          <w:rFonts w:cs="Arial"/>
          <w:szCs w:val="20"/>
        </w:rPr>
        <w:t xml:space="preserve"> hat deshalb im </w:t>
      </w:r>
      <w:r w:rsidRPr="0004016D">
        <w:rPr>
          <w:rFonts w:cs="Arial"/>
          <w:szCs w:val="20"/>
        </w:rPr>
        <w:t>Geschäftsjahr</w:t>
      </w:r>
      <w:r>
        <w:rPr>
          <w:rFonts w:cs="Arial"/>
          <w:szCs w:val="20"/>
        </w:rPr>
        <w:t xml:space="preserve"> zum </w:t>
      </w:r>
      <w:r w:rsidRPr="0004016D">
        <w:rPr>
          <w:rFonts w:cs="Arial"/>
          <w:szCs w:val="20"/>
        </w:rPr>
        <w:t>einen die</w:t>
      </w:r>
      <w:r>
        <w:rPr>
          <w:rFonts w:cs="Arial"/>
          <w:szCs w:val="20"/>
        </w:rPr>
        <w:t xml:space="preserve"> Belegschaft weltweit auf 7.417 Mitarbeiter ausgebaut (+6,6 Prozent gegenüber 2014). Nahezu 60 Prozent der B</w:t>
      </w:r>
      <w:r w:rsidR="00180A76">
        <w:rPr>
          <w:rFonts w:cs="Arial"/>
          <w:szCs w:val="20"/>
        </w:rPr>
        <w:t xml:space="preserve">eschäftigten arbeiten im Inland, </w:t>
      </w:r>
      <w:r w:rsidR="006A6549" w:rsidRPr="0004016D">
        <w:rPr>
          <w:rFonts w:cs="Arial"/>
          <w:szCs w:val="20"/>
        </w:rPr>
        <w:t>wo</w:t>
      </w:r>
      <w:r w:rsidR="006A6549">
        <w:rPr>
          <w:rFonts w:cs="Arial"/>
          <w:szCs w:val="20"/>
        </w:rPr>
        <w:t xml:space="preserve"> </w:t>
      </w:r>
      <w:r w:rsidR="00180A76">
        <w:rPr>
          <w:rFonts w:cs="Arial"/>
          <w:szCs w:val="20"/>
        </w:rPr>
        <w:t>sich die Mitarbeiterzahl um 5,8 Prozent erhöht hat. Im Ausland fiel das Wachstum mit 7,8</w:t>
      </w:r>
      <w:r w:rsidR="00747C14">
        <w:rPr>
          <w:rFonts w:cs="Arial"/>
          <w:szCs w:val="20"/>
        </w:rPr>
        <w:t> </w:t>
      </w:r>
      <w:r w:rsidR="00180A76">
        <w:rPr>
          <w:rFonts w:cs="Arial"/>
          <w:szCs w:val="20"/>
        </w:rPr>
        <w:t xml:space="preserve">Prozent </w:t>
      </w:r>
      <w:r w:rsidR="00B6628E">
        <w:rPr>
          <w:rFonts w:cs="Arial"/>
          <w:szCs w:val="20"/>
        </w:rPr>
        <w:t>e</w:t>
      </w:r>
      <w:r w:rsidR="00180A76">
        <w:rPr>
          <w:rFonts w:cs="Arial"/>
          <w:szCs w:val="20"/>
        </w:rPr>
        <w:t xml:space="preserve">twas höher aus. </w:t>
      </w:r>
      <w:r>
        <w:rPr>
          <w:rFonts w:cs="Arial"/>
          <w:szCs w:val="20"/>
        </w:rPr>
        <w:t xml:space="preserve">Zum anderen </w:t>
      </w:r>
      <w:r w:rsidR="00180A76" w:rsidRPr="0004016D">
        <w:rPr>
          <w:rFonts w:cs="Arial"/>
          <w:szCs w:val="20"/>
        </w:rPr>
        <w:t>wurden</w:t>
      </w:r>
      <w:r w:rsidR="00180A76">
        <w:rPr>
          <w:rFonts w:cs="Arial"/>
          <w:szCs w:val="20"/>
        </w:rPr>
        <w:t xml:space="preserve"> auch </w:t>
      </w:r>
      <w:r w:rsidR="00020C18">
        <w:rPr>
          <w:rFonts w:cs="Arial"/>
          <w:szCs w:val="20"/>
        </w:rPr>
        <w:t xml:space="preserve">die </w:t>
      </w:r>
      <w:r w:rsidR="00180A76">
        <w:rPr>
          <w:rFonts w:cs="Arial"/>
          <w:szCs w:val="20"/>
        </w:rPr>
        <w:t>Aufwendungen für A</w:t>
      </w:r>
      <w:r w:rsidR="006F7D07">
        <w:rPr>
          <w:rFonts w:cs="Arial"/>
          <w:szCs w:val="20"/>
        </w:rPr>
        <w:t xml:space="preserve">us- und Weiterbildung </w:t>
      </w:r>
      <w:r w:rsidR="006F7D07">
        <w:rPr>
          <w:rFonts w:cs="Arial"/>
          <w:szCs w:val="20"/>
        </w:rPr>
        <w:lastRenderedPageBreak/>
        <w:t xml:space="preserve">enorm </w:t>
      </w:r>
      <w:r w:rsidR="006F7D07" w:rsidRPr="0004016D">
        <w:rPr>
          <w:rFonts w:cs="Arial"/>
          <w:szCs w:val="20"/>
        </w:rPr>
        <w:t>erhöht</w:t>
      </w:r>
      <w:r w:rsidR="00180A76">
        <w:rPr>
          <w:rFonts w:cs="Arial"/>
          <w:szCs w:val="20"/>
        </w:rPr>
        <w:t xml:space="preserve">: Mit 9,3 </w:t>
      </w:r>
      <w:r w:rsidR="00180A76" w:rsidRPr="0004016D">
        <w:rPr>
          <w:rFonts w:cs="Arial"/>
          <w:szCs w:val="20"/>
        </w:rPr>
        <w:t>Mio. Euro</w:t>
      </w:r>
      <w:r w:rsidR="00180A76">
        <w:rPr>
          <w:rFonts w:cs="Arial"/>
          <w:szCs w:val="20"/>
        </w:rPr>
        <w:t xml:space="preserve"> lagen </w:t>
      </w:r>
      <w:r w:rsidR="00180A76" w:rsidRPr="0004016D">
        <w:rPr>
          <w:rFonts w:cs="Arial"/>
          <w:szCs w:val="20"/>
        </w:rPr>
        <w:t>diese</w:t>
      </w:r>
      <w:r w:rsidR="00180A76">
        <w:rPr>
          <w:rFonts w:cs="Arial"/>
          <w:szCs w:val="20"/>
        </w:rPr>
        <w:t xml:space="preserve"> um 16,3 Prozent über dem </w:t>
      </w:r>
      <w:r w:rsidR="00180A76" w:rsidRPr="0004016D">
        <w:rPr>
          <w:rFonts w:cs="Arial"/>
          <w:szCs w:val="20"/>
        </w:rPr>
        <w:t>Vorjahr</w:t>
      </w:r>
      <w:r w:rsidR="00180A76">
        <w:rPr>
          <w:rFonts w:cs="Arial"/>
          <w:szCs w:val="20"/>
        </w:rPr>
        <w:t>.</w:t>
      </w:r>
      <w:r w:rsidR="00020C18">
        <w:rPr>
          <w:rFonts w:cs="Arial"/>
          <w:szCs w:val="20"/>
        </w:rPr>
        <w:t xml:space="preserve"> Zudem </w:t>
      </w:r>
      <w:r w:rsidR="00020C18" w:rsidRPr="0004016D">
        <w:rPr>
          <w:rFonts w:cs="Arial"/>
          <w:szCs w:val="20"/>
        </w:rPr>
        <w:t>werden</w:t>
      </w:r>
      <w:r w:rsidR="00020C18">
        <w:rPr>
          <w:rFonts w:cs="Arial"/>
          <w:szCs w:val="20"/>
        </w:rPr>
        <w:t xml:space="preserve"> die M</w:t>
      </w:r>
      <w:r w:rsidR="00A11BF7">
        <w:rPr>
          <w:rFonts w:cs="Arial"/>
          <w:szCs w:val="20"/>
        </w:rPr>
        <w:t>itarbeiter in besonderer Form an</w:t>
      </w:r>
      <w:r w:rsidR="00020C18">
        <w:rPr>
          <w:rFonts w:cs="Arial"/>
          <w:szCs w:val="20"/>
        </w:rPr>
        <w:t xml:space="preserve"> der sieben Jahrzehnte währenden Erfolgsgeschichte des Unternehmens </w:t>
      </w:r>
      <w:r w:rsidR="00020C18" w:rsidRPr="0004016D">
        <w:rPr>
          <w:rFonts w:cs="Arial"/>
          <w:szCs w:val="20"/>
        </w:rPr>
        <w:t>beteiligt</w:t>
      </w:r>
      <w:r w:rsidR="00020C18">
        <w:rPr>
          <w:rFonts w:cs="Arial"/>
          <w:szCs w:val="20"/>
        </w:rPr>
        <w:t xml:space="preserve">: </w:t>
      </w:r>
      <w:r w:rsidR="00684F88">
        <w:rPr>
          <w:rFonts w:cs="Arial"/>
          <w:szCs w:val="20"/>
        </w:rPr>
        <w:t>Im Jubiläumsjahr 2016 w</w:t>
      </w:r>
      <w:r w:rsidR="00384F0A">
        <w:rPr>
          <w:rFonts w:cs="Arial"/>
          <w:szCs w:val="20"/>
        </w:rPr>
        <w:t xml:space="preserve">erden </w:t>
      </w:r>
      <w:r w:rsidR="00A11BF7" w:rsidRPr="0004016D">
        <w:rPr>
          <w:rFonts w:cs="Arial"/>
          <w:szCs w:val="20"/>
        </w:rPr>
        <w:t>sie</w:t>
      </w:r>
      <w:r w:rsidR="00A11BF7">
        <w:rPr>
          <w:rFonts w:cs="Arial"/>
          <w:szCs w:val="20"/>
        </w:rPr>
        <w:t xml:space="preserve"> </w:t>
      </w:r>
      <w:r w:rsidR="00684F88">
        <w:rPr>
          <w:rFonts w:cs="Arial"/>
          <w:szCs w:val="20"/>
        </w:rPr>
        <w:t>ei</w:t>
      </w:r>
      <w:r w:rsidR="00020C18">
        <w:rPr>
          <w:rFonts w:cs="Arial"/>
          <w:szCs w:val="20"/>
        </w:rPr>
        <w:t>nen Sonder</w:t>
      </w:r>
      <w:r w:rsidR="00684F88">
        <w:rPr>
          <w:rFonts w:cs="Arial"/>
          <w:szCs w:val="20"/>
        </w:rPr>
        <w:t xml:space="preserve">bonus in Abhängigkeit von der Dauer </w:t>
      </w:r>
      <w:r w:rsidR="00684F88" w:rsidRPr="0004016D">
        <w:rPr>
          <w:rFonts w:cs="Arial"/>
          <w:szCs w:val="20"/>
        </w:rPr>
        <w:t>ihrer</w:t>
      </w:r>
      <w:r w:rsidR="00684F88">
        <w:rPr>
          <w:rFonts w:cs="Arial"/>
          <w:szCs w:val="20"/>
        </w:rPr>
        <w:t xml:space="preserve"> Betriebszugehörigkeit erhalten.</w:t>
      </w:r>
    </w:p>
    <w:p w:rsidR="00871461" w:rsidRPr="00DC6ECA" w:rsidRDefault="00180A76" w:rsidP="00871461">
      <w:pPr>
        <w:pStyle w:val="berschrift2"/>
      </w:pPr>
      <w:r>
        <w:t xml:space="preserve">Forschungs- und </w:t>
      </w:r>
      <w:r w:rsidR="006A6549">
        <w:t xml:space="preserve">Entwicklungstätigkeit </w:t>
      </w:r>
      <w:r>
        <w:t>erneut ausgeweitet</w:t>
      </w:r>
    </w:p>
    <w:p w:rsidR="00871461" w:rsidRPr="00871461" w:rsidRDefault="00180A76" w:rsidP="00871461">
      <w:pPr>
        <w:rPr>
          <w:rFonts w:cs="Arial"/>
          <w:szCs w:val="20"/>
        </w:rPr>
      </w:pPr>
      <w:r>
        <w:rPr>
          <w:rFonts w:cs="Arial"/>
          <w:szCs w:val="20"/>
        </w:rPr>
        <w:t xml:space="preserve">Beleg für die hohe Innovationskraft von </w:t>
      </w:r>
      <w:r w:rsidRPr="0004016D">
        <w:rPr>
          <w:rFonts w:cs="Arial"/>
          <w:szCs w:val="20"/>
        </w:rPr>
        <w:t>SICK</w:t>
      </w:r>
      <w:r>
        <w:rPr>
          <w:rFonts w:cs="Arial"/>
          <w:szCs w:val="20"/>
        </w:rPr>
        <w:t xml:space="preserve"> ist die </w:t>
      </w:r>
      <w:r w:rsidR="00871461" w:rsidRPr="00871461">
        <w:rPr>
          <w:rFonts w:cs="Arial"/>
          <w:szCs w:val="20"/>
        </w:rPr>
        <w:t xml:space="preserve">intensive </w:t>
      </w:r>
      <w:r w:rsidR="002215CD">
        <w:rPr>
          <w:rFonts w:cs="Arial"/>
          <w:szCs w:val="20"/>
        </w:rPr>
        <w:t>F&amp;E-Tätigkeit</w:t>
      </w:r>
      <w:r>
        <w:rPr>
          <w:rFonts w:cs="Arial"/>
          <w:szCs w:val="20"/>
        </w:rPr>
        <w:t xml:space="preserve">, die sich in einem erneuten Anstieg des </w:t>
      </w:r>
      <w:r w:rsidRPr="0004016D">
        <w:rPr>
          <w:rFonts w:cs="Arial"/>
          <w:szCs w:val="20"/>
        </w:rPr>
        <w:t>F&amp;</w:t>
      </w:r>
      <w:r w:rsidR="00871461" w:rsidRPr="0004016D">
        <w:rPr>
          <w:rFonts w:cs="Arial"/>
          <w:szCs w:val="20"/>
        </w:rPr>
        <w:t>E</w:t>
      </w:r>
      <w:r w:rsidR="00871461" w:rsidRPr="00871461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Aufwands widerspiegelt: Im vergangenen </w:t>
      </w:r>
      <w:r w:rsidRPr="0004016D">
        <w:rPr>
          <w:rFonts w:cs="Arial"/>
          <w:szCs w:val="20"/>
        </w:rPr>
        <w:t>Geschäftsjahr</w:t>
      </w:r>
      <w:r>
        <w:rPr>
          <w:rFonts w:cs="Arial"/>
          <w:szCs w:val="20"/>
        </w:rPr>
        <w:t xml:space="preserve"> </w:t>
      </w:r>
      <w:r w:rsidRPr="0004016D">
        <w:rPr>
          <w:rFonts w:cs="Arial"/>
          <w:szCs w:val="20"/>
        </w:rPr>
        <w:t>w</w:t>
      </w:r>
      <w:r w:rsidR="006F7D07" w:rsidRPr="0004016D">
        <w:rPr>
          <w:rFonts w:cs="Arial"/>
          <w:szCs w:val="20"/>
        </w:rPr>
        <w:t>urden</w:t>
      </w:r>
      <w:r w:rsidR="006F7D07">
        <w:rPr>
          <w:rFonts w:cs="Arial"/>
          <w:szCs w:val="20"/>
        </w:rPr>
        <w:t xml:space="preserve"> 129,0 </w:t>
      </w:r>
      <w:r w:rsidR="006F7D07" w:rsidRPr="0004016D">
        <w:rPr>
          <w:rFonts w:cs="Arial"/>
          <w:szCs w:val="20"/>
        </w:rPr>
        <w:t>Mio. Euro</w:t>
      </w:r>
      <w:r w:rsidR="006F7D07">
        <w:rPr>
          <w:rFonts w:cs="Arial"/>
          <w:szCs w:val="20"/>
        </w:rPr>
        <w:t xml:space="preserve"> für </w:t>
      </w:r>
      <w:r w:rsidR="002215CD">
        <w:rPr>
          <w:rFonts w:cs="Arial"/>
          <w:szCs w:val="20"/>
        </w:rPr>
        <w:t>F&amp;E</w:t>
      </w:r>
      <w:r w:rsidR="006F7D07">
        <w:rPr>
          <w:rFonts w:cs="Arial"/>
          <w:szCs w:val="20"/>
        </w:rPr>
        <w:t xml:space="preserve"> </w:t>
      </w:r>
      <w:r w:rsidR="006F7D07" w:rsidRPr="0004016D">
        <w:rPr>
          <w:rFonts w:cs="Arial"/>
          <w:szCs w:val="20"/>
        </w:rPr>
        <w:t>aufgewendet</w:t>
      </w:r>
      <w:r>
        <w:rPr>
          <w:rFonts w:cs="Arial"/>
          <w:szCs w:val="20"/>
        </w:rPr>
        <w:t>. Dies</w:t>
      </w:r>
      <w:r w:rsidR="006F7D07">
        <w:rPr>
          <w:rFonts w:cs="Arial"/>
          <w:szCs w:val="20"/>
        </w:rPr>
        <w:t xml:space="preserve"> sind 11,0 Prozent mehr als</w:t>
      </w:r>
      <w:r>
        <w:rPr>
          <w:rFonts w:cs="Arial"/>
          <w:szCs w:val="20"/>
        </w:rPr>
        <w:t xml:space="preserve"> im </w:t>
      </w:r>
      <w:r w:rsidRPr="0004016D">
        <w:rPr>
          <w:rFonts w:cs="Arial"/>
          <w:szCs w:val="20"/>
        </w:rPr>
        <w:t>Vorjahr</w:t>
      </w:r>
      <w:r>
        <w:rPr>
          <w:rFonts w:cs="Arial"/>
          <w:szCs w:val="20"/>
        </w:rPr>
        <w:t xml:space="preserve">. </w:t>
      </w:r>
      <w:r w:rsidRPr="0004016D">
        <w:rPr>
          <w:rFonts w:cs="Arial"/>
          <w:szCs w:val="20"/>
        </w:rPr>
        <w:t>Die</w:t>
      </w:r>
      <w:r>
        <w:rPr>
          <w:rFonts w:cs="Arial"/>
          <w:szCs w:val="20"/>
        </w:rPr>
        <w:t xml:space="preserve"> F&amp;E-Quote beläuft sich damit auf 10,2 Prozent des </w:t>
      </w:r>
      <w:r w:rsidRPr="0004016D">
        <w:rPr>
          <w:rFonts w:cs="Arial"/>
          <w:szCs w:val="20"/>
        </w:rPr>
        <w:t>Umsatzes</w:t>
      </w:r>
      <w:r>
        <w:rPr>
          <w:rFonts w:cs="Arial"/>
          <w:szCs w:val="20"/>
        </w:rPr>
        <w:t xml:space="preserve"> (</w:t>
      </w:r>
      <w:r w:rsidRPr="0004016D">
        <w:rPr>
          <w:rFonts w:cs="Arial"/>
          <w:szCs w:val="20"/>
        </w:rPr>
        <w:t>Vorjahr</w:t>
      </w:r>
      <w:r>
        <w:rPr>
          <w:rFonts w:cs="Arial"/>
          <w:szCs w:val="20"/>
        </w:rPr>
        <w:t xml:space="preserve">: 10,6 Prozent). Im </w:t>
      </w:r>
      <w:r w:rsidRPr="0004016D">
        <w:rPr>
          <w:rFonts w:cs="Arial"/>
          <w:szCs w:val="20"/>
        </w:rPr>
        <w:t>Geschäftsjahr</w:t>
      </w:r>
      <w:r>
        <w:rPr>
          <w:rFonts w:cs="Arial"/>
          <w:szCs w:val="20"/>
        </w:rPr>
        <w:t xml:space="preserve"> 2015 </w:t>
      </w:r>
      <w:r w:rsidRPr="0004016D">
        <w:rPr>
          <w:rFonts w:cs="Arial"/>
          <w:szCs w:val="20"/>
        </w:rPr>
        <w:t>haben</w:t>
      </w:r>
      <w:r w:rsidR="00871461" w:rsidRPr="00871461">
        <w:rPr>
          <w:rFonts w:cs="Arial"/>
          <w:szCs w:val="20"/>
        </w:rPr>
        <w:t xml:space="preserve"> durchschnittlich</w:t>
      </w:r>
      <w:r>
        <w:rPr>
          <w:rFonts w:cs="Arial"/>
          <w:szCs w:val="20"/>
        </w:rPr>
        <w:t xml:space="preserve"> 864 Beschäftigte und damit 5,8 Prozent mehr als im </w:t>
      </w:r>
      <w:r w:rsidRPr="0004016D">
        <w:rPr>
          <w:rFonts w:cs="Arial"/>
          <w:szCs w:val="20"/>
        </w:rPr>
        <w:t>Vorjahr</w:t>
      </w:r>
      <w:r>
        <w:rPr>
          <w:rFonts w:cs="Arial"/>
          <w:szCs w:val="20"/>
        </w:rPr>
        <w:t xml:space="preserve"> an </w:t>
      </w:r>
      <w:r w:rsidR="00871461" w:rsidRPr="00871461">
        <w:rPr>
          <w:rFonts w:cs="Arial"/>
          <w:szCs w:val="20"/>
        </w:rPr>
        <w:t>neuen Tech</w:t>
      </w:r>
      <w:r>
        <w:rPr>
          <w:rFonts w:cs="Arial"/>
          <w:szCs w:val="20"/>
        </w:rPr>
        <w:t xml:space="preserve">nologien und neuen Produkten </w:t>
      </w:r>
      <w:r w:rsidRPr="0004016D">
        <w:rPr>
          <w:rFonts w:cs="Arial"/>
          <w:szCs w:val="20"/>
        </w:rPr>
        <w:t>gearbeitet</w:t>
      </w:r>
      <w:r>
        <w:rPr>
          <w:rFonts w:cs="Arial"/>
          <w:szCs w:val="20"/>
        </w:rPr>
        <w:t xml:space="preserve">. </w:t>
      </w:r>
      <w:r w:rsidR="00325E32">
        <w:rPr>
          <w:rFonts w:cs="Arial"/>
          <w:szCs w:val="20"/>
        </w:rPr>
        <w:t xml:space="preserve">Insbesondere an den ausländischen F&amp;E-Standorten </w:t>
      </w:r>
      <w:r w:rsidR="00325E32" w:rsidRPr="0004016D">
        <w:rPr>
          <w:rFonts w:cs="Arial"/>
          <w:szCs w:val="20"/>
        </w:rPr>
        <w:t>wurden</w:t>
      </w:r>
      <w:r w:rsidR="00325E32">
        <w:rPr>
          <w:rFonts w:cs="Arial"/>
          <w:szCs w:val="20"/>
        </w:rPr>
        <w:t xml:space="preserve"> Entwicklungskapazitäten </w:t>
      </w:r>
      <w:r w:rsidR="00325E32" w:rsidRPr="0004016D">
        <w:rPr>
          <w:rFonts w:cs="Arial"/>
          <w:szCs w:val="20"/>
        </w:rPr>
        <w:t>aufgebaut</w:t>
      </w:r>
      <w:r w:rsidR="00325E32">
        <w:rPr>
          <w:rFonts w:cs="Arial"/>
          <w:szCs w:val="20"/>
        </w:rPr>
        <w:t xml:space="preserve">. </w:t>
      </w:r>
    </w:p>
    <w:p w:rsidR="00871461" w:rsidRPr="00DC6ECA" w:rsidRDefault="008818F5" w:rsidP="00871461">
      <w:pPr>
        <w:pStyle w:val="berschrift2"/>
      </w:pPr>
      <w:r w:rsidRPr="0004016D">
        <w:t>Prognose</w:t>
      </w:r>
      <w:r>
        <w:t xml:space="preserve"> für das laufende </w:t>
      </w:r>
      <w:r w:rsidRPr="0004016D">
        <w:t>Geschäftsjahr</w:t>
      </w:r>
      <w:r>
        <w:t xml:space="preserve"> fällt moderat aus</w:t>
      </w:r>
    </w:p>
    <w:p w:rsidR="00871461" w:rsidRPr="00871461" w:rsidRDefault="008818F5" w:rsidP="00871461">
      <w:pPr>
        <w:pStyle w:val="Lead"/>
        <w:suppressAutoHyphens/>
        <w:spacing w:after="120"/>
        <w:rPr>
          <w:rFonts w:eastAsia="Calibri" w:cs="Arial"/>
          <w:b w:val="0"/>
          <w:bCs w:val="0"/>
          <w:iCs w:val="0"/>
          <w:szCs w:val="20"/>
        </w:rPr>
      </w:pPr>
      <w:r>
        <w:rPr>
          <w:rFonts w:eastAsia="Calibri" w:cs="Arial"/>
          <w:b w:val="0"/>
          <w:bCs w:val="0"/>
          <w:iCs w:val="0"/>
          <w:szCs w:val="20"/>
        </w:rPr>
        <w:t xml:space="preserve">Im ersten Quartal 2016 zeichnet sich ein ähnlicher Trend ab wie im vergangenen </w:t>
      </w:r>
      <w:r w:rsidRPr="0004016D">
        <w:rPr>
          <w:rFonts w:eastAsia="Calibri" w:cs="Arial"/>
          <w:b w:val="0"/>
          <w:bCs w:val="0"/>
          <w:iCs w:val="0"/>
          <w:szCs w:val="20"/>
        </w:rPr>
        <w:t>Geschäftsjahr</w:t>
      </w:r>
      <w:r>
        <w:rPr>
          <w:rFonts w:eastAsia="Calibri" w:cs="Arial"/>
          <w:b w:val="0"/>
          <w:bCs w:val="0"/>
          <w:iCs w:val="0"/>
          <w:szCs w:val="20"/>
        </w:rPr>
        <w:t xml:space="preserve">: </w:t>
      </w:r>
      <w:r w:rsidRPr="0004016D">
        <w:rPr>
          <w:rFonts w:eastAsia="Calibri" w:cs="Arial"/>
          <w:b w:val="0"/>
          <w:bCs w:val="0"/>
          <w:iCs w:val="0"/>
          <w:szCs w:val="20"/>
        </w:rPr>
        <w:t>Umsatz</w:t>
      </w:r>
      <w:r>
        <w:rPr>
          <w:rFonts w:eastAsia="Calibri" w:cs="Arial"/>
          <w:b w:val="0"/>
          <w:bCs w:val="0"/>
          <w:iCs w:val="0"/>
          <w:szCs w:val="20"/>
        </w:rPr>
        <w:t xml:space="preserve"> und </w:t>
      </w:r>
      <w:r w:rsidR="00094C9F" w:rsidRPr="0004016D">
        <w:rPr>
          <w:rFonts w:eastAsia="Calibri" w:cs="Arial"/>
          <w:b w:val="0"/>
          <w:bCs w:val="0"/>
          <w:iCs w:val="0"/>
          <w:szCs w:val="20"/>
        </w:rPr>
        <w:t>Auftragseingang</w:t>
      </w:r>
      <w:r w:rsidR="00094C9F">
        <w:rPr>
          <w:rFonts w:eastAsia="Calibri" w:cs="Arial"/>
          <w:b w:val="0"/>
          <w:bCs w:val="0"/>
          <w:iCs w:val="0"/>
          <w:szCs w:val="20"/>
        </w:rPr>
        <w:t xml:space="preserve"> haben sich</w:t>
      </w:r>
      <w:r>
        <w:rPr>
          <w:rFonts w:eastAsia="Calibri" w:cs="Arial"/>
          <w:b w:val="0"/>
          <w:bCs w:val="0"/>
          <w:iCs w:val="0"/>
          <w:szCs w:val="20"/>
        </w:rPr>
        <w:t xml:space="preserve"> </w:t>
      </w:r>
      <w:r w:rsidR="00DD060D">
        <w:rPr>
          <w:rFonts w:eastAsia="Calibri" w:cs="Arial"/>
          <w:b w:val="0"/>
          <w:bCs w:val="0"/>
          <w:iCs w:val="0"/>
          <w:szCs w:val="20"/>
        </w:rPr>
        <w:t>über dem Vorjahr</w:t>
      </w:r>
      <w:r w:rsidR="00834EB1">
        <w:rPr>
          <w:rFonts w:eastAsia="Calibri" w:cs="Arial"/>
          <w:b w:val="0"/>
          <w:bCs w:val="0"/>
          <w:iCs w:val="0"/>
          <w:szCs w:val="20"/>
        </w:rPr>
        <w:t>esniveau</w:t>
      </w:r>
      <w:r w:rsidR="00DD060D">
        <w:rPr>
          <w:rFonts w:eastAsia="Calibri" w:cs="Arial"/>
          <w:b w:val="0"/>
          <w:bCs w:val="0"/>
          <w:iCs w:val="0"/>
          <w:szCs w:val="20"/>
        </w:rPr>
        <w:t xml:space="preserve">, aber </w:t>
      </w:r>
      <w:r>
        <w:rPr>
          <w:rFonts w:eastAsia="Calibri" w:cs="Arial"/>
          <w:b w:val="0"/>
          <w:bCs w:val="0"/>
          <w:iCs w:val="0"/>
          <w:szCs w:val="20"/>
        </w:rPr>
        <w:t xml:space="preserve">noch zurückhaltend entwickelt. </w:t>
      </w:r>
      <w:r w:rsidRPr="008818F5">
        <w:rPr>
          <w:rFonts w:eastAsia="Calibri" w:cs="Arial"/>
          <w:b w:val="0"/>
          <w:bCs w:val="0"/>
          <w:iCs w:val="0"/>
          <w:szCs w:val="20"/>
        </w:rPr>
        <w:t xml:space="preserve">Was die Entwicklung von </w:t>
      </w:r>
      <w:r w:rsidRPr="0004016D">
        <w:rPr>
          <w:rFonts w:eastAsia="Calibri" w:cs="Arial"/>
          <w:b w:val="0"/>
          <w:bCs w:val="0"/>
          <w:iCs w:val="0"/>
          <w:szCs w:val="20"/>
        </w:rPr>
        <w:t>Umsatz</w:t>
      </w:r>
      <w:r w:rsidRPr="008818F5">
        <w:rPr>
          <w:rFonts w:eastAsia="Calibri" w:cs="Arial"/>
          <w:b w:val="0"/>
          <w:bCs w:val="0"/>
          <w:iCs w:val="0"/>
          <w:szCs w:val="20"/>
        </w:rPr>
        <w:t xml:space="preserve"> und Ergebnis </w:t>
      </w:r>
      <w:r>
        <w:rPr>
          <w:rFonts w:eastAsia="Calibri" w:cs="Arial"/>
          <w:b w:val="0"/>
          <w:bCs w:val="0"/>
          <w:iCs w:val="0"/>
          <w:szCs w:val="20"/>
        </w:rPr>
        <w:t xml:space="preserve">bis zum Jahresende anbelangt, zeigt sich </w:t>
      </w:r>
      <w:r w:rsidRPr="0004016D">
        <w:rPr>
          <w:rFonts w:eastAsia="Calibri" w:cs="Arial"/>
          <w:b w:val="0"/>
          <w:bCs w:val="0"/>
          <w:iCs w:val="0"/>
          <w:szCs w:val="20"/>
        </w:rPr>
        <w:t>Vorstandsvor</w:t>
      </w:r>
      <w:r w:rsidR="00834EB1" w:rsidRPr="0004016D">
        <w:rPr>
          <w:rFonts w:eastAsia="Calibri" w:cs="Arial"/>
          <w:b w:val="0"/>
          <w:bCs w:val="0"/>
          <w:iCs w:val="0"/>
          <w:szCs w:val="20"/>
        </w:rPr>
        <w:t>sitzender</w:t>
      </w:r>
      <w:r w:rsidR="00834EB1">
        <w:rPr>
          <w:rFonts w:eastAsia="Calibri" w:cs="Arial"/>
          <w:b w:val="0"/>
          <w:bCs w:val="0"/>
          <w:iCs w:val="0"/>
          <w:szCs w:val="20"/>
        </w:rPr>
        <w:t xml:space="preserve"> Dr. Robert Bauer dennoch </w:t>
      </w:r>
      <w:r>
        <w:rPr>
          <w:rFonts w:eastAsia="Calibri" w:cs="Arial"/>
          <w:b w:val="0"/>
          <w:bCs w:val="0"/>
          <w:iCs w:val="0"/>
          <w:szCs w:val="20"/>
        </w:rPr>
        <w:t>vorsichtig optimistisch: „</w:t>
      </w:r>
      <w:r w:rsidR="00834EB1" w:rsidRPr="0004016D">
        <w:rPr>
          <w:rFonts w:eastAsia="Calibri" w:cs="Arial"/>
          <w:b w:val="0"/>
          <w:bCs w:val="0"/>
          <w:iCs w:val="0"/>
          <w:szCs w:val="20"/>
        </w:rPr>
        <w:t>Trotz</w:t>
      </w:r>
      <w:r w:rsidR="00834EB1">
        <w:rPr>
          <w:rFonts w:eastAsia="Calibri" w:cs="Arial"/>
          <w:b w:val="0"/>
          <w:bCs w:val="0"/>
          <w:iCs w:val="0"/>
          <w:szCs w:val="20"/>
        </w:rPr>
        <w:t xml:space="preserve"> des herausfordernden</w:t>
      </w:r>
      <w:r w:rsidRPr="008818F5">
        <w:rPr>
          <w:rFonts w:eastAsia="Calibri" w:cs="Arial"/>
          <w:b w:val="0"/>
          <w:bCs w:val="0"/>
          <w:iCs w:val="0"/>
          <w:szCs w:val="20"/>
        </w:rPr>
        <w:t xml:space="preserve"> wirtschaftliche</w:t>
      </w:r>
      <w:r w:rsidR="00652D0A">
        <w:rPr>
          <w:rFonts w:eastAsia="Calibri" w:cs="Arial"/>
          <w:b w:val="0"/>
          <w:bCs w:val="0"/>
          <w:iCs w:val="0"/>
          <w:szCs w:val="20"/>
        </w:rPr>
        <w:t>n</w:t>
      </w:r>
      <w:r w:rsidRPr="008818F5">
        <w:rPr>
          <w:rFonts w:eastAsia="Calibri" w:cs="Arial"/>
          <w:b w:val="0"/>
          <w:bCs w:val="0"/>
          <w:iCs w:val="0"/>
          <w:szCs w:val="20"/>
        </w:rPr>
        <w:t xml:space="preserve"> Umfeld</w:t>
      </w:r>
      <w:r w:rsidR="00834EB1">
        <w:rPr>
          <w:rFonts w:eastAsia="Calibri" w:cs="Arial"/>
          <w:b w:val="0"/>
          <w:bCs w:val="0"/>
          <w:iCs w:val="0"/>
          <w:szCs w:val="20"/>
        </w:rPr>
        <w:t>s</w:t>
      </w:r>
      <w:r w:rsidR="00DD060D">
        <w:rPr>
          <w:rFonts w:eastAsia="Calibri" w:cs="Arial"/>
          <w:b w:val="0"/>
          <w:bCs w:val="0"/>
          <w:iCs w:val="0"/>
          <w:szCs w:val="20"/>
        </w:rPr>
        <w:t xml:space="preserve"> </w:t>
      </w:r>
      <w:r w:rsidR="00834EB1">
        <w:rPr>
          <w:rFonts w:eastAsia="Calibri" w:cs="Arial"/>
          <w:b w:val="0"/>
          <w:bCs w:val="0"/>
          <w:iCs w:val="0"/>
          <w:szCs w:val="20"/>
        </w:rPr>
        <w:t xml:space="preserve">sind </w:t>
      </w:r>
      <w:r w:rsidR="00834EB1" w:rsidRPr="0004016D">
        <w:rPr>
          <w:rFonts w:eastAsia="Calibri" w:cs="Arial"/>
          <w:b w:val="0"/>
          <w:bCs w:val="0"/>
          <w:iCs w:val="0"/>
          <w:szCs w:val="20"/>
        </w:rPr>
        <w:t>wir</w:t>
      </w:r>
      <w:r w:rsidR="00834EB1">
        <w:rPr>
          <w:rFonts w:eastAsia="Calibri" w:cs="Arial"/>
          <w:b w:val="0"/>
          <w:bCs w:val="0"/>
          <w:iCs w:val="0"/>
          <w:szCs w:val="20"/>
        </w:rPr>
        <w:t xml:space="preserve"> zuversichtlich, auch im </w:t>
      </w:r>
      <w:r w:rsidR="00834EB1" w:rsidRPr="0004016D">
        <w:rPr>
          <w:rFonts w:eastAsia="Calibri" w:cs="Arial"/>
          <w:b w:val="0"/>
          <w:bCs w:val="0"/>
          <w:iCs w:val="0"/>
          <w:szCs w:val="20"/>
        </w:rPr>
        <w:t>Jahr</w:t>
      </w:r>
      <w:r w:rsidR="00834EB1">
        <w:rPr>
          <w:rFonts w:eastAsia="Calibri" w:cs="Arial"/>
          <w:b w:val="0"/>
          <w:bCs w:val="0"/>
          <w:iCs w:val="0"/>
          <w:szCs w:val="20"/>
        </w:rPr>
        <w:t xml:space="preserve"> </w:t>
      </w:r>
      <w:r>
        <w:rPr>
          <w:rFonts w:eastAsia="Calibri" w:cs="Arial"/>
          <w:b w:val="0"/>
          <w:bCs w:val="0"/>
          <w:iCs w:val="0"/>
          <w:szCs w:val="20"/>
        </w:rPr>
        <w:t xml:space="preserve">2016 </w:t>
      </w:r>
      <w:r w:rsidR="00834EB1">
        <w:rPr>
          <w:rFonts w:eastAsia="Calibri" w:cs="Arial"/>
          <w:b w:val="0"/>
          <w:bCs w:val="0"/>
          <w:iCs w:val="0"/>
          <w:szCs w:val="20"/>
        </w:rPr>
        <w:t xml:space="preserve">ein Wachstum bei </w:t>
      </w:r>
      <w:r w:rsidR="00834EB1" w:rsidRPr="0004016D">
        <w:rPr>
          <w:rFonts w:eastAsia="Calibri" w:cs="Arial"/>
          <w:b w:val="0"/>
          <w:bCs w:val="0"/>
          <w:iCs w:val="0"/>
          <w:szCs w:val="20"/>
        </w:rPr>
        <w:t>Umsatz</w:t>
      </w:r>
      <w:r w:rsidR="00834EB1">
        <w:rPr>
          <w:rFonts w:eastAsia="Calibri" w:cs="Arial"/>
          <w:b w:val="0"/>
          <w:bCs w:val="0"/>
          <w:iCs w:val="0"/>
          <w:szCs w:val="20"/>
        </w:rPr>
        <w:t xml:space="preserve"> und Ergebnis erzielen zu können – wenn auch mit bescheideneren Zuwachsraten als </w:t>
      </w:r>
      <w:r w:rsidR="00834EB1" w:rsidRPr="0004016D">
        <w:rPr>
          <w:rFonts w:eastAsia="Calibri" w:cs="Arial"/>
          <w:b w:val="0"/>
          <w:bCs w:val="0"/>
          <w:iCs w:val="0"/>
          <w:szCs w:val="20"/>
        </w:rPr>
        <w:t>2015</w:t>
      </w:r>
      <w:r w:rsidR="00834EB1">
        <w:rPr>
          <w:rFonts w:eastAsia="Calibri" w:cs="Arial"/>
          <w:b w:val="0"/>
          <w:bCs w:val="0"/>
          <w:iCs w:val="0"/>
          <w:szCs w:val="20"/>
        </w:rPr>
        <w:t xml:space="preserve">. </w:t>
      </w:r>
      <w:r w:rsidR="00A11BF7" w:rsidRPr="0004016D">
        <w:rPr>
          <w:rFonts w:eastAsia="Calibri" w:cs="Arial"/>
          <w:b w:val="0"/>
          <w:bCs w:val="0"/>
          <w:iCs w:val="0"/>
          <w:szCs w:val="20"/>
        </w:rPr>
        <w:t>Wir</w:t>
      </w:r>
      <w:r w:rsidR="00A11BF7">
        <w:rPr>
          <w:rFonts w:eastAsia="Calibri" w:cs="Arial"/>
          <w:b w:val="0"/>
          <w:bCs w:val="0"/>
          <w:iCs w:val="0"/>
          <w:szCs w:val="20"/>
        </w:rPr>
        <w:t xml:space="preserve"> haben seit</w:t>
      </w:r>
      <w:r w:rsidR="00684F88">
        <w:rPr>
          <w:rFonts w:eastAsia="Calibri" w:cs="Arial"/>
          <w:b w:val="0"/>
          <w:bCs w:val="0"/>
          <w:iCs w:val="0"/>
          <w:szCs w:val="20"/>
        </w:rPr>
        <w:t xml:space="preserve"> der </w:t>
      </w:r>
      <w:r>
        <w:rPr>
          <w:rFonts w:eastAsia="Calibri" w:cs="Arial"/>
          <w:b w:val="0"/>
          <w:bCs w:val="0"/>
          <w:iCs w:val="0"/>
          <w:szCs w:val="20"/>
        </w:rPr>
        <w:t xml:space="preserve">Umstellung </w:t>
      </w:r>
      <w:r w:rsidRPr="0004016D">
        <w:rPr>
          <w:rFonts w:eastAsia="Calibri" w:cs="Arial"/>
          <w:b w:val="0"/>
          <w:bCs w:val="0"/>
          <w:iCs w:val="0"/>
          <w:szCs w:val="20"/>
        </w:rPr>
        <w:t>unseres</w:t>
      </w:r>
      <w:r>
        <w:rPr>
          <w:rFonts w:eastAsia="Calibri" w:cs="Arial"/>
          <w:b w:val="0"/>
          <w:bCs w:val="0"/>
          <w:iCs w:val="0"/>
          <w:szCs w:val="20"/>
        </w:rPr>
        <w:t xml:space="preserve"> </w:t>
      </w:r>
      <w:r w:rsidRPr="0004016D">
        <w:rPr>
          <w:rFonts w:eastAsia="Calibri" w:cs="Arial"/>
          <w:b w:val="0"/>
          <w:bCs w:val="0"/>
          <w:iCs w:val="0"/>
          <w:szCs w:val="20"/>
        </w:rPr>
        <w:t>Markenclaims</w:t>
      </w:r>
      <w:r>
        <w:rPr>
          <w:rFonts w:eastAsia="Calibri" w:cs="Arial"/>
          <w:b w:val="0"/>
          <w:bCs w:val="0"/>
          <w:iCs w:val="0"/>
          <w:szCs w:val="20"/>
        </w:rPr>
        <w:t xml:space="preserve"> auf „</w:t>
      </w:r>
      <w:r w:rsidRPr="0004016D">
        <w:rPr>
          <w:rFonts w:eastAsia="Calibri" w:cs="Arial"/>
          <w:b w:val="0"/>
          <w:bCs w:val="0"/>
          <w:iCs w:val="0"/>
          <w:szCs w:val="20"/>
        </w:rPr>
        <w:t>Sensor Intelligence.</w:t>
      </w:r>
      <w:r>
        <w:rPr>
          <w:rFonts w:eastAsia="Calibri" w:cs="Arial"/>
          <w:b w:val="0"/>
          <w:bCs w:val="0"/>
          <w:iCs w:val="0"/>
          <w:szCs w:val="20"/>
        </w:rPr>
        <w:t xml:space="preserve">“ </w:t>
      </w:r>
      <w:r w:rsidR="007D126C" w:rsidRPr="0004016D">
        <w:rPr>
          <w:rFonts w:eastAsia="Calibri" w:cs="Arial"/>
          <w:b w:val="0"/>
          <w:bCs w:val="0"/>
          <w:iCs w:val="0"/>
          <w:szCs w:val="20"/>
        </w:rPr>
        <w:t>i</w:t>
      </w:r>
      <w:r w:rsidRPr="0004016D">
        <w:rPr>
          <w:rFonts w:eastAsia="Calibri" w:cs="Arial"/>
          <w:b w:val="0"/>
          <w:bCs w:val="0"/>
          <w:iCs w:val="0"/>
          <w:szCs w:val="20"/>
        </w:rPr>
        <w:t>m</w:t>
      </w:r>
      <w:r>
        <w:rPr>
          <w:rFonts w:eastAsia="Calibri" w:cs="Arial"/>
          <w:b w:val="0"/>
          <w:bCs w:val="0"/>
          <w:iCs w:val="0"/>
          <w:szCs w:val="20"/>
        </w:rPr>
        <w:t xml:space="preserve"> </w:t>
      </w:r>
      <w:r w:rsidRPr="0004016D">
        <w:rPr>
          <w:rFonts w:eastAsia="Calibri" w:cs="Arial"/>
          <w:b w:val="0"/>
          <w:bCs w:val="0"/>
          <w:iCs w:val="0"/>
          <w:szCs w:val="20"/>
        </w:rPr>
        <w:t>Jahr</w:t>
      </w:r>
      <w:r>
        <w:rPr>
          <w:rFonts w:eastAsia="Calibri" w:cs="Arial"/>
          <w:b w:val="0"/>
          <w:bCs w:val="0"/>
          <w:iCs w:val="0"/>
          <w:szCs w:val="20"/>
        </w:rPr>
        <w:t xml:space="preserve"> 2004 kontinuierlich darauf hingearbeitet, </w:t>
      </w:r>
      <w:r w:rsidRPr="0004016D">
        <w:rPr>
          <w:rFonts w:eastAsia="Calibri" w:cs="Arial"/>
          <w:b w:val="0"/>
          <w:bCs w:val="0"/>
          <w:iCs w:val="0"/>
          <w:szCs w:val="20"/>
        </w:rPr>
        <w:t>unsere</w:t>
      </w:r>
      <w:r>
        <w:rPr>
          <w:rFonts w:eastAsia="Calibri" w:cs="Arial"/>
          <w:b w:val="0"/>
          <w:bCs w:val="0"/>
          <w:iCs w:val="0"/>
          <w:szCs w:val="20"/>
        </w:rPr>
        <w:t xml:space="preserve"> </w:t>
      </w:r>
      <w:r w:rsidR="00DD060D">
        <w:rPr>
          <w:rFonts w:eastAsia="Calibri" w:cs="Arial"/>
          <w:b w:val="0"/>
          <w:bCs w:val="0"/>
          <w:iCs w:val="0"/>
          <w:szCs w:val="20"/>
        </w:rPr>
        <w:t>Produkte, Systeme und Services</w:t>
      </w:r>
      <w:r>
        <w:rPr>
          <w:rFonts w:eastAsia="Calibri" w:cs="Arial"/>
          <w:b w:val="0"/>
          <w:bCs w:val="0"/>
          <w:iCs w:val="0"/>
          <w:szCs w:val="20"/>
        </w:rPr>
        <w:t xml:space="preserve"> fit zu machen für die </w:t>
      </w:r>
      <w:r w:rsidRPr="0004016D">
        <w:rPr>
          <w:rFonts w:eastAsia="Calibri" w:cs="Arial"/>
          <w:b w:val="0"/>
          <w:bCs w:val="0"/>
          <w:iCs w:val="0"/>
          <w:szCs w:val="20"/>
        </w:rPr>
        <w:t>Anforderungen</w:t>
      </w:r>
      <w:r>
        <w:rPr>
          <w:rFonts w:eastAsia="Calibri" w:cs="Arial"/>
          <w:b w:val="0"/>
          <w:bCs w:val="0"/>
          <w:iCs w:val="0"/>
          <w:szCs w:val="20"/>
        </w:rPr>
        <w:t xml:space="preserve"> der vernetzten Welt von </w:t>
      </w:r>
      <w:r w:rsidRPr="0004016D">
        <w:rPr>
          <w:rFonts w:eastAsia="Calibri" w:cs="Arial"/>
          <w:b w:val="0"/>
          <w:bCs w:val="0"/>
          <w:iCs w:val="0"/>
          <w:szCs w:val="20"/>
        </w:rPr>
        <w:t>Industrie 4.0</w:t>
      </w:r>
      <w:r w:rsidR="00834EB1">
        <w:rPr>
          <w:rFonts w:eastAsia="Calibri" w:cs="Arial"/>
          <w:b w:val="0"/>
          <w:bCs w:val="0"/>
          <w:iCs w:val="0"/>
          <w:szCs w:val="20"/>
        </w:rPr>
        <w:t xml:space="preserve"> und sind deshalb bestens gerüstet für zukünftige </w:t>
      </w:r>
      <w:r w:rsidR="00834EB1" w:rsidRPr="0004016D">
        <w:rPr>
          <w:rFonts w:eastAsia="Calibri" w:cs="Arial"/>
          <w:b w:val="0"/>
          <w:bCs w:val="0"/>
          <w:iCs w:val="0"/>
          <w:szCs w:val="20"/>
        </w:rPr>
        <w:t>Herausforderungen</w:t>
      </w:r>
      <w:r w:rsidR="006169AA">
        <w:rPr>
          <w:rFonts w:eastAsia="Calibri" w:cs="Arial"/>
          <w:b w:val="0"/>
          <w:bCs w:val="0"/>
          <w:iCs w:val="0"/>
          <w:szCs w:val="20"/>
        </w:rPr>
        <w:t>.</w:t>
      </w:r>
      <w:r w:rsidR="00AC228C">
        <w:rPr>
          <w:rFonts w:eastAsia="Calibri" w:cs="Arial"/>
          <w:b w:val="0"/>
          <w:bCs w:val="0"/>
          <w:iCs w:val="0"/>
          <w:szCs w:val="20"/>
        </w:rPr>
        <w:t>“</w:t>
      </w:r>
      <w:r>
        <w:rPr>
          <w:rFonts w:eastAsia="Calibri" w:cs="Arial"/>
          <w:b w:val="0"/>
          <w:bCs w:val="0"/>
          <w:iCs w:val="0"/>
          <w:szCs w:val="20"/>
        </w:rPr>
        <w:t xml:space="preserve"> </w:t>
      </w:r>
    </w:p>
    <w:p w:rsidR="00871461" w:rsidRPr="001A604B" w:rsidRDefault="00871461" w:rsidP="00871461">
      <w:pPr>
        <w:pStyle w:val="berschrift2"/>
        <w:suppressAutoHyphens/>
      </w:pPr>
      <w:r w:rsidRPr="0004016D">
        <w:t xml:space="preserve">Die </w:t>
      </w:r>
      <w:r w:rsidRPr="00517F77">
        <w:t>wichtigsten Kennzahlen</w:t>
      </w:r>
      <w:r w:rsidR="00AE6B54">
        <w:t xml:space="preserve"> dieser Mitteilung im Überblick</w:t>
      </w:r>
      <w:r w:rsidR="00777A68"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560"/>
        <w:gridCol w:w="1984"/>
      </w:tblGrid>
      <w:tr w:rsidR="00325E32" w:rsidRPr="005927EA" w:rsidTr="00325E32">
        <w:trPr>
          <w:trHeight w:val="416"/>
        </w:trPr>
        <w:tc>
          <w:tcPr>
            <w:tcW w:w="4111" w:type="dxa"/>
            <w:shd w:val="clear" w:color="auto" w:fill="007FC3"/>
            <w:vAlign w:val="center"/>
          </w:tcPr>
          <w:p w:rsidR="00325E32" w:rsidRPr="005927EA" w:rsidRDefault="00325E32" w:rsidP="00C33A78">
            <w:pPr>
              <w:suppressAutoHyphens/>
              <w:rPr>
                <w:rFonts w:cs="Arial"/>
                <w:b/>
                <w:color w:val="FFFFFF" w:themeColor="background1"/>
              </w:rPr>
            </w:pPr>
            <w:r w:rsidRPr="005927EA">
              <w:rPr>
                <w:rFonts w:cs="Arial"/>
                <w:b/>
                <w:color w:val="FFFFFF" w:themeColor="background1"/>
              </w:rPr>
              <w:t>SICK-Konzern (IFRS)</w:t>
            </w:r>
          </w:p>
        </w:tc>
        <w:tc>
          <w:tcPr>
            <w:tcW w:w="1559" w:type="dxa"/>
            <w:shd w:val="clear" w:color="auto" w:fill="007FC3"/>
            <w:vAlign w:val="center"/>
          </w:tcPr>
          <w:p w:rsidR="00325E32" w:rsidRPr="005927EA" w:rsidRDefault="00325E32" w:rsidP="00C33A78">
            <w:pPr>
              <w:suppressAutoHyphens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2014</w:t>
            </w:r>
          </w:p>
        </w:tc>
        <w:tc>
          <w:tcPr>
            <w:tcW w:w="1560" w:type="dxa"/>
            <w:shd w:val="clear" w:color="auto" w:fill="007FC3"/>
            <w:vAlign w:val="center"/>
          </w:tcPr>
          <w:p w:rsidR="00325E32" w:rsidRPr="005927EA" w:rsidRDefault="00325E32" w:rsidP="00325E32">
            <w:pPr>
              <w:suppressAutoHyphens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2015</w:t>
            </w:r>
          </w:p>
        </w:tc>
        <w:tc>
          <w:tcPr>
            <w:tcW w:w="1984" w:type="dxa"/>
            <w:shd w:val="clear" w:color="auto" w:fill="007FC3"/>
            <w:vAlign w:val="center"/>
          </w:tcPr>
          <w:p w:rsidR="00325E32" w:rsidRPr="005927EA" w:rsidRDefault="00325E32" w:rsidP="00C33A78">
            <w:pPr>
              <w:suppressAutoHyphens/>
              <w:rPr>
                <w:rFonts w:cs="Arial"/>
                <w:b/>
                <w:color w:val="FFFFFF" w:themeColor="background1"/>
              </w:rPr>
            </w:pPr>
            <w:r w:rsidRPr="005927EA">
              <w:rPr>
                <w:rFonts w:cs="Arial"/>
                <w:b/>
                <w:color w:val="FFFFFF" w:themeColor="background1"/>
              </w:rPr>
              <w:t>Veränderung in %</w:t>
            </w:r>
          </w:p>
        </w:tc>
      </w:tr>
      <w:tr w:rsidR="00325E32" w:rsidRPr="005927EA" w:rsidTr="00325E32">
        <w:trPr>
          <w:trHeight w:hRule="exact" w:val="454"/>
        </w:trPr>
        <w:tc>
          <w:tcPr>
            <w:tcW w:w="4111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 w:rsidRPr="0004016D">
              <w:rPr>
                <w:rFonts w:cs="Arial"/>
              </w:rPr>
              <w:t>Auftragseingang</w:t>
            </w:r>
            <w:r w:rsidRPr="005927EA">
              <w:rPr>
                <w:rFonts w:cs="Arial"/>
              </w:rPr>
              <w:t xml:space="preserve"> (in Mio. EUR)</w:t>
            </w:r>
          </w:p>
        </w:tc>
        <w:tc>
          <w:tcPr>
            <w:tcW w:w="1559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1.122,8</w:t>
            </w:r>
          </w:p>
        </w:tc>
        <w:tc>
          <w:tcPr>
            <w:tcW w:w="1560" w:type="dxa"/>
          </w:tcPr>
          <w:p w:rsidR="00325E32" w:rsidRDefault="00325E32" w:rsidP="000519F5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1.270,</w:t>
            </w:r>
            <w:r w:rsidR="000519F5">
              <w:rPr>
                <w:rFonts w:cs="Arial"/>
              </w:rPr>
              <w:t>5</w:t>
            </w:r>
          </w:p>
        </w:tc>
        <w:tc>
          <w:tcPr>
            <w:tcW w:w="1984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+13,2</w:t>
            </w:r>
          </w:p>
        </w:tc>
      </w:tr>
      <w:tr w:rsidR="00325E32" w:rsidRPr="005927EA" w:rsidTr="00325E32">
        <w:trPr>
          <w:trHeight w:hRule="exact" w:val="454"/>
        </w:trPr>
        <w:tc>
          <w:tcPr>
            <w:tcW w:w="4111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 w:rsidRPr="0004016D">
              <w:rPr>
                <w:rFonts w:cs="Arial"/>
              </w:rPr>
              <w:t>Umsatz</w:t>
            </w:r>
            <w:r w:rsidRPr="005927EA">
              <w:rPr>
                <w:rFonts w:cs="Arial"/>
              </w:rPr>
              <w:t xml:space="preserve"> (in Mio. EUR)</w:t>
            </w:r>
          </w:p>
        </w:tc>
        <w:tc>
          <w:tcPr>
            <w:tcW w:w="1559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1.099,8</w:t>
            </w:r>
          </w:p>
        </w:tc>
        <w:tc>
          <w:tcPr>
            <w:tcW w:w="1560" w:type="dxa"/>
          </w:tcPr>
          <w:p w:rsidR="00325E32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1.267,6</w:t>
            </w:r>
          </w:p>
        </w:tc>
        <w:tc>
          <w:tcPr>
            <w:tcW w:w="1984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+15,3</w:t>
            </w:r>
          </w:p>
        </w:tc>
      </w:tr>
      <w:tr w:rsidR="00325E32" w:rsidRPr="005927EA" w:rsidTr="00325E32">
        <w:trPr>
          <w:trHeight w:hRule="exact" w:val="454"/>
        </w:trPr>
        <w:tc>
          <w:tcPr>
            <w:tcW w:w="4111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 w:rsidRPr="0004016D">
              <w:rPr>
                <w:rFonts w:cs="Arial"/>
              </w:rPr>
              <w:t>EBIT</w:t>
            </w:r>
            <w:r w:rsidRPr="005927EA">
              <w:rPr>
                <w:rFonts w:cs="Arial"/>
              </w:rPr>
              <w:t xml:space="preserve"> (in Mio. EUR)</w:t>
            </w:r>
          </w:p>
        </w:tc>
        <w:tc>
          <w:tcPr>
            <w:tcW w:w="1559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103,2</w:t>
            </w:r>
          </w:p>
        </w:tc>
        <w:tc>
          <w:tcPr>
            <w:tcW w:w="1560" w:type="dxa"/>
          </w:tcPr>
          <w:p w:rsidR="00325E32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129,1</w:t>
            </w:r>
          </w:p>
        </w:tc>
        <w:tc>
          <w:tcPr>
            <w:tcW w:w="1984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+25,1</w:t>
            </w:r>
          </w:p>
        </w:tc>
      </w:tr>
      <w:tr w:rsidR="00325E32" w:rsidRPr="005927EA" w:rsidTr="00325E32">
        <w:trPr>
          <w:trHeight w:hRule="exact" w:val="454"/>
        </w:trPr>
        <w:tc>
          <w:tcPr>
            <w:tcW w:w="4111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 w:rsidRPr="005927EA">
              <w:rPr>
                <w:rFonts w:cs="Arial"/>
              </w:rPr>
              <w:t>Jahresergebnis (in Mio. EUR)</w:t>
            </w:r>
          </w:p>
        </w:tc>
        <w:tc>
          <w:tcPr>
            <w:tcW w:w="1559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69,8</w:t>
            </w:r>
          </w:p>
        </w:tc>
        <w:tc>
          <w:tcPr>
            <w:tcW w:w="1560" w:type="dxa"/>
          </w:tcPr>
          <w:p w:rsidR="00325E32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90,8</w:t>
            </w:r>
          </w:p>
        </w:tc>
        <w:tc>
          <w:tcPr>
            <w:tcW w:w="1984" w:type="dxa"/>
            <w:vAlign w:val="center"/>
          </w:tcPr>
          <w:p w:rsidR="00325E32" w:rsidRPr="005927EA" w:rsidRDefault="00325E32" w:rsidP="00D0763C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+30,</w:t>
            </w:r>
            <w:r w:rsidR="00AA03E0">
              <w:rPr>
                <w:rFonts w:cs="Arial"/>
              </w:rPr>
              <w:t>1</w:t>
            </w:r>
          </w:p>
        </w:tc>
      </w:tr>
      <w:tr w:rsidR="00325E32" w:rsidRPr="005927EA" w:rsidTr="00325E32">
        <w:trPr>
          <w:trHeight w:hRule="exact" w:val="454"/>
        </w:trPr>
        <w:tc>
          <w:tcPr>
            <w:tcW w:w="4111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 w:rsidRPr="005927EA">
              <w:rPr>
                <w:rFonts w:cs="Arial"/>
              </w:rPr>
              <w:t>F&amp;E-Aufwand (in Mio. EUR)</w:t>
            </w:r>
          </w:p>
        </w:tc>
        <w:tc>
          <w:tcPr>
            <w:tcW w:w="1559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116,2</w:t>
            </w:r>
          </w:p>
        </w:tc>
        <w:tc>
          <w:tcPr>
            <w:tcW w:w="1560" w:type="dxa"/>
          </w:tcPr>
          <w:p w:rsidR="00325E32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129,0</w:t>
            </w:r>
          </w:p>
        </w:tc>
        <w:tc>
          <w:tcPr>
            <w:tcW w:w="1984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+11,0</w:t>
            </w:r>
          </w:p>
        </w:tc>
      </w:tr>
      <w:tr w:rsidR="00325E32" w:rsidRPr="005927EA" w:rsidTr="00325E32">
        <w:trPr>
          <w:trHeight w:hRule="exact" w:val="454"/>
        </w:trPr>
        <w:tc>
          <w:tcPr>
            <w:tcW w:w="4111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 w:rsidRPr="005927EA">
              <w:rPr>
                <w:rFonts w:cs="Arial"/>
              </w:rPr>
              <w:t>Mitarbeiter zum Jahresende</w:t>
            </w:r>
          </w:p>
        </w:tc>
        <w:tc>
          <w:tcPr>
            <w:tcW w:w="1559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6.957</w:t>
            </w:r>
          </w:p>
        </w:tc>
        <w:tc>
          <w:tcPr>
            <w:tcW w:w="1560" w:type="dxa"/>
          </w:tcPr>
          <w:p w:rsidR="00325E32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7.417</w:t>
            </w:r>
          </w:p>
        </w:tc>
        <w:tc>
          <w:tcPr>
            <w:tcW w:w="1984" w:type="dxa"/>
            <w:vAlign w:val="center"/>
          </w:tcPr>
          <w:p w:rsidR="00325E32" w:rsidRPr="005927EA" w:rsidRDefault="00325E32" w:rsidP="00C33A78">
            <w:pPr>
              <w:suppressAutoHyphens/>
              <w:spacing w:before="120"/>
              <w:rPr>
                <w:rFonts w:cs="Arial"/>
              </w:rPr>
            </w:pPr>
            <w:r>
              <w:rPr>
                <w:rFonts w:cs="Arial"/>
              </w:rPr>
              <w:t>+6,6</w:t>
            </w:r>
          </w:p>
        </w:tc>
      </w:tr>
    </w:tbl>
    <w:p w:rsidR="00D36503" w:rsidRPr="00D36503" w:rsidRDefault="00D36503" w:rsidP="00871461">
      <w:pPr>
        <w:pStyle w:val="Boilerplate"/>
        <w:spacing w:before="480"/>
      </w:pPr>
      <w:r w:rsidRPr="0004016D">
        <w:t>SICK</w:t>
      </w:r>
      <w:r w:rsidRPr="00D36503">
        <w:t xml:space="preserve"> ist einer der weltweit führenden Hersteller von </w:t>
      </w:r>
      <w:r w:rsidRPr="0004016D">
        <w:t>Sensoren</w:t>
      </w:r>
      <w:r w:rsidRPr="00D36503">
        <w:t xml:space="preserve"> und </w:t>
      </w:r>
      <w:r w:rsidRPr="0004016D">
        <w:t>Sensorlösungen</w:t>
      </w:r>
      <w:r w:rsidRPr="00D36503">
        <w:t xml:space="preserve"> für industrielle Anwendungen. </w:t>
      </w:r>
      <w:r w:rsidRPr="0004016D">
        <w:t>Das</w:t>
      </w:r>
      <w:r w:rsidRPr="00D36503">
        <w:t xml:space="preserve"> 1946 von Dr.-Ing. e. h. </w:t>
      </w:r>
      <w:r w:rsidRPr="0004016D">
        <w:t>Erwin</w:t>
      </w:r>
      <w:r w:rsidRPr="00D36503">
        <w:t xml:space="preserve">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</w:t>
      </w:r>
      <w:r w:rsidRPr="0004016D">
        <w:t>Tochtergesellschaften</w:t>
      </w:r>
      <w:r w:rsidRPr="00D36503">
        <w:t xml:space="preserve"> und </w:t>
      </w:r>
      <w:r w:rsidRPr="0004016D">
        <w:t>Beteiligungen</w:t>
      </w:r>
      <w:r w:rsidRPr="00D36503">
        <w:t xml:space="preserve"> sowie zahlreichen </w:t>
      </w:r>
      <w:r w:rsidRPr="0004016D">
        <w:t>Vertretungen</w:t>
      </w:r>
      <w:r w:rsidRPr="00D36503">
        <w:t xml:space="preserve"> rund um den Globu</w:t>
      </w:r>
      <w:r w:rsidR="00325E32">
        <w:t xml:space="preserve">s </w:t>
      </w:r>
      <w:r w:rsidR="00325E32" w:rsidRPr="0004016D">
        <w:t>präsent</w:t>
      </w:r>
      <w:r w:rsidR="00325E32">
        <w:t xml:space="preserve">. Im </w:t>
      </w:r>
      <w:r w:rsidR="00325E32" w:rsidRPr="0004016D">
        <w:t>Geschäftsjahr</w:t>
      </w:r>
      <w:r w:rsidR="00325E32">
        <w:t xml:space="preserve"> 2015 beschäftigte </w:t>
      </w:r>
      <w:r w:rsidR="00325E32" w:rsidRPr="0004016D">
        <w:t>SICK</w:t>
      </w:r>
      <w:r w:rsidR="00325E32">
        <w:t xml:space="preserve"> mehr als 7.400</w:t>
      </w:r>
      <w:r w:rsidRPr="00D36503">
        <w:t xml:space="preserve"> Mitarbeiter weltweit und erzie</w:t>
      </w:r>
      <w:r w:rsidR="00325E32">
        <w:t xml:space="preserve">lte einen Konzernumsatz von </w:t>
      </w:r>
      <w:r w:rsidR="00E4769F">
        <w:t xml:space="preserve">knapp </w:t>
      </w:r>
      <w:r w:rsidR="00325E32">
        <w:t xml:space="preserve">1,3 </w:t>
      </w:r>
      <w:r w:rsidR="00325E32" w:rsidRPr="0004016D">
        <w:t xml:space="preserve">Mrd. </w:t>
      </w:r>
      <w:r w:rsidRPr="0004016D">
        <w:t>Euro</w:t>
      </w:r>
      <w:r w:rsidRPr="00D36503">
        <w:t>.</w:t>
      </w:r>
      <w:r>
        <w:br/>
      </w:r>
      <w:r w:rsidRPr="0004016D">
        <w:t>Weitere Informationen</w:t>
      </w:r>
      <w:r w:rsidRPr="00D36503">
        <w:t xml:space="preserve"> zu </w:t>
      </w:r>
      <w:r w:rsidRPr="0004016D">
        <w:t>SICK</w:t>
      </w:r>
      <w:r w:rsidRPr="00D36503">
        <w:t xml:space="preserve"> erhalten </w:t>
      </w:r>
      <w:r w:rsidRPr="0004016D">
        <w:t>Sie</w:t>
      </w:r>
      <w:r w:rsidRPr="00D36503">
        <w:t xml:space="preserve"> im Internet unter http://www.sick.com oder unter Telefon </w:t>
      </w:r>
      <w:r w:rsidR="00BA26EB">
        <w:br/>
      </w:r>
      <w:r w:rsidR="00325E32">
        <w:t>+49 7681 202-4183</w:t>
      </w:r>
      <w:r w:rsidR="007B22F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72" w:rsidRDefault="001C2172" w:rsidP="00CB0E99">
      <w:pPr>
        <w:spacing w:line="240" w:lineRule="auto"/>
      </w:pPr>
      <w:r>
        <w:separator/>
      </w:r>
    </w:p>
  </w:endnote>
  <w:endnote w:type="continuationSeparator" w:id="0">
    <w:p w:rsidR="001C2172" w:rsidRDefault="001C217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1E5ED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1E5EDB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72" w:rsidRDefault="001C2172" w:rsidP="00CB0E99">
      <w:pPr>
        <w:spacing w:line="240" w:lineRule="auto"/>
      </w:pPr>
      <w:r>
        <w:separator/>
      </w:r>
    </w:p>
  </w:footnote>
  <w:footnote w:type="continuationSeparator" w:id="0">
    <w:p w:rsidR="001C2172" w:rsidRDefault="001C217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39"/>
    <w:rsid w:val="000077BD"/>
    <w:rsid w:val="00020C18"/>
    <w:rsid w:val="0004016D"/>
    <w:rsid w:val="00047437"/>
    <w:rsid w:val="000519F5"/>
    <w:rsid w:val="00082311"/>
    <w:rsid w:val="00087191"/>
    <w:rsid w:val="00094C9F"/>
    <w:rsid w:val="000B7C82"/>
    <w:rsid w:val="000D23CA"/>
    <w:rsid w:val="000E2D3C"/>
    <w:rsid w:val="000F5C66"/>
    <w:rsid w:val="001103E0"/>
    <w:rsid w:val="001310B9"/>
    <w:rsid w:val="00144B8E"/>
    <w:rsid w:val="0015775E"/>
    <w:rsid w:val="00161D1B"/>
    <w:rsid w:val="00161FD9"/>
    <w:rsid w:val="00172B83"/>
    <w:rsid w:val="0017428D"/>
    <w:rsid w:val="00180A76"/>
    <w:rsid w:val="00190A9B"/>
    <w:rsid w:val="001A5682"/>
    <w:rsid w:val="001B3A32"/>
    <w:rsid w:val="001C2172"/>
    <w:rsid w:val="001C6197"/>
    <w:rsid w:val="001E47B4"/>
    <w:rsid w:val="001E51CD"/>
    <w:rsid w:val="001E5EDB"/>
    <w:rsid w:val="00215810"/>
    <w:rsid w:val="00216883"/>
    <w:rsid w:val="002215CD"/>
    <w:rsid w:val="00227C3D"/>
    <w:rsid w:val="002303F2"/>
    <w:rsid w:val="00241027"/>
    <w:rsid w:val="00243368"/>
    <w:rsid w:val="00246DAA"/>
    <w:rsid w:val="0025113F"/>
    <w:rsid w:val="00257FF3"/>
    <w:rsid w:val="002610B2"/>
    <w:rsid w:val="00286D84"/>
    <w:rsid w:val="002B10E3"/>
    <w:rsid w:val="002C16DF"/>
    <w:rsid w:val="00311305"/>
    <w:rsid w:val="00325E32"/>
    <w:rsid w:val="003409DF"/>
    <w:rsid w:val="00365DDC"/>
    <w:rsid w:val="00377DF0"/>
    <w:rsid w:val="00384F0A"/>
    <w:rsid w:val="00390C85"/>
    <w:rsid w:val="00392F4D"/>
    <w:rsid w:val="003B68BC"/>
    <w:rsid w:val="003B7380"/>
    <w:rsid w:val="003D12C2"/>
    <w:rsid w:val="00461E95"/>
    <w:rsid w:val="004D70DF"/>
    <w:rsid w:val="005027F6"/>
    <w:rsid w:val="00512050"/>
    <w:rsid w:val="00514A5D"/>
    <w:rsid w:val="00531EA0"/>
    <w:rsid w:val="00547286"/>
    <w:rsid w:val="005554B4"/>
    <w:rsid w:val="005729E5"/>
    <w:rsid w:val="005774AB"/>
    <w:rsid w:val="005864EF"/>
    <w:rsid w:val="005E790D"/>
    <w:rsid w:val="005F0DE6"/>
    <w:rsid w:val="005F4798"/>
    <w:rsid w:val="006169AA"/>
    <w:rsid w:val="00620BA5"/>
    <w:rsid w:val="006374FF"/>
    <w:rsid w:val="00637F15"/>
    <w:rsid w:val="00652D0A"/>
    <w:rsid w:val="00684F88"/>
    <w:rsid w:val="006A6549"/>
    <w:rsid w:val="006A725F"/>
    <w:rsid w:val="006C5AFB"/>
    <w:rsid w:val="006F09FE"/>
    <w:rsid w:val="006F6DE2"/>
    <w:rsid w:val="006F7D07"/>
    <w:rsid w:val="00721ACC"/>
    <w:rsid w:val="00731011"/>
    <w:rsid w:val="00735906"/>
    <w:rsid w:val="00735B1C"/>
    <w:rsid w:val="00744175"/>
    <w:rsid w:val="00747C14"/>
    <w:rsid w:val="0075680B"/>
    <w:rsid w:val="00762E5A"/>
    <w:rsid w:val="00777A68"/>
    <w:rsid w:val="0079794B"/>
    <w:rsid w:val="007A0763"/>
    <w:rsid w:val="007B152C"/>
    <w:rsid w:val="007B22F3"/>
    <w:rsid w:val="007D126C"/>
    <w:rsid w:val="007D7404"/>
    <w:rsid w:val="007E6CE3"/>
    <w:rsid w:val="007F0429"/>
    <w:rsid w:val="00834EB1"/>
    <w:rsid w:val="00862524"/>
    <w:rsid w:val="00866EC3"/>
    <w:rsid w:val="00871461"/>
    <w:rsid w:val="008818F5"/>
    <w:rsid w:val="00892E93"/>
    <w:rsid w:val="008940AA"/>
    <w:rsid w:val="008B6429"/>
    <w:rsid w:val="008C21FC"/>
    <w:rsid w:val="008D6275"/>
    <w:rsid w:val="00910D8D"/>
    <w:rsid w:val="009133CB"/>
    <w:rsid w:val="0094024B"/>
    <w:rsid w:val="009C1042"/>
    <w:rsid w:val="009C7C76"/>
    <w:rsid w:val="00A11BF7"/>
    <w:rsid w:val="00A33D14"/>
    <w:rsid w:val="00A4395C"/>
    <w:rsid w:val="00A4733D"/>
    <w:rsid w:val="00A775E9"/>
    <w:rsid w:val="00A863F5"/>
    <w:rsid w:val="00AA00E4"/>
    <w:rsid w:val="00AA03E0"/>
    <w:rsid w:val="00AB0A33"/>
    <w:rsid w:val="00AC228C"/>
    <w:rsid w:val="00AE39C0"/>
    <w:rsid w:val="00AE4A53"/>
    <w:rsid w:val="00AE6B54"/>
    <w:rsid w:val="00AE782F"/>
    <w:rsid w:val="00AF173A"/>
    <w:rsid w:val="00B03194"/>
    <w:rsid w:val="00B123CA"/>
    <w:rsid w:val="00B30C5E"/>
    <w:rsid w:val="00B31D5B"/>
    <w:rsid w:val="00B418F4"/>
    <w:rsid w:val="00B54F8A"/>
    <w:rsid w:val="00B6628E"/>
    <w:rsid w:val="00B706EA"/>
    <w:rsid w:val="00BA26EB"/>
    <w:rsid w:val="00BA79DA"/>
    <w:rsid w:val="00BB7439"/>
    <w:rsid w:val="00BC6C05"/>
    <w:rsid w:val="00BD1EED"/>
    <w:rsid w:val="00BD2BE3"/>
    <w:rsid w:val="00C02C79"/>
    <w:rsid w:val="00C04E45"/>
    <w:rsid w:val="00C22B42"/>
    <w:rsid w:val="00C27B9E"/>
    <w:rsid w:val="00C3606D"/>
    <w:rsid w:val="00C46C14"/>
    <w:rsid w:val="00C7643D"/>
    <w:rsid w:val="00C84DBD"/>
    <w:rsid w:val="00C92212"/>
    <w:rsid w:val="00CB0E99"/>
    <w:rsid w:val="00CB6416"/>
    <w:rsid w:val="00CC1D58"/>
    <w:rsid w:val="00CC7EAA"/>
    <w:rsid w:val="00CE1934"/>
    <w:rsid w:val="00CF1884"/>
    <w:rsid w:val="00D0763C"/>
    <w:rsid w:val="00D36503"/>
    <w:rsid w:val="00D6734F"/>
    <w:rsid w:val="00D73797"/>
    <w:rsid w:val="00D7448E"/>
    <w:rsid w:val="00D804BF"/>
    <w:rsid w:val="00D876C8"/>
    <w:rsid w:val="00D94555"/>
    <w:rsid w:val="00D97B8B"/>
    <w:rsid w:val="00DA1D78"/>
    <w:rsid w:val="00DA4CC7"/>
    <w:rsid w:val="00DC0193"/>
    <w:rsid w:val="00DC3C9F"/>
    <w:rsid w:val="00DD060D"/>
    <w:rsid w:val="00DD4751"/>
    <w:rsid w:val="00DF74C4"/>
    <w:rsid w:val="00E00220"/>
    <w:rsid w:val="00E04E05"/>
    <w:rsid w:val="00E273D4"/>
    <w:rsid w:val="00E33724"/>
    <w:rsid w:val="00E43D52"/>
    <w:rsid w:val="00E4769F"/>
    <w:rsid w:val="00E753B2"/>
    <w:rsid w:val="00ED34D2"/>
    <w:rsid w:val="00EE67CC"/>
    <w:rsid w:val="00F05A05"/>
    <w:rsid w:val="00F17459"/>
    <w:rsid w:val="00F33858"/>
    <w:rsid w:val="00F52337"/>
    <w:rsid w:val="00F5454F"/>
    <w:rsid w:val="00F62F5A"/>
    <w:rsid w:val="00F72D5C"/>
    <w:rsid w:val="00F7375F"/>
    <w:rsid w:val="00F92ADD"/>
    <w:rsid w:val="00FA43DE"/>
    <w:rsid w:val="00FB0FEE"/>
    <w:rsid w:val="00FC781C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berarbeitung">
    <w:name w:val="Revision"/>
    <w:hidden/>
    <w:uiPriority w:val="99"/>
    <w:semiHidden/>
    <w:rsid w:val="002215CD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berarbeitung">
    <w:name w:val="Revision"/>
    <w:hidden/>
    <w:uiPriority w:val="99"/>
    <w:semiHidden/>
    <w:rsid w:val="002215CD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1456-5B40-4BDC-815D-0F6EFAD9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832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Axel Langer</dc:creator>
  <cp:lastModifiedBy>Silvia Puckl</cp:lastModifiedBy>
  <cp:revision>9</cp:revision>
  <cp:lastPrinted>2016-04-11T14:41:00Z</cp:lastPrinted>
  <dcterms:created xsi:type="dcterms:W3CDTF">2016-04-11T13:33:00Z</dcterms:created>
  <dcterms:modified xsi:type="dcterms:W3CDTF">2016-04-19T07:56:00Z</dcterms:modified>
</cp:coreProperties>
</file>