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0C3C69" w:rsidP="00E273D4">
      <w:pPr>
        <w:pStyle w:val="berschrift1"/>
      </w:pPr>
      <w:r>
        <w:t>Reliable measurement results under tough conditions</w:t>
      </w:r>
    </w:p>
    <w:p w:rsidR="00D73797" w:rsidRDefault="000C3C69" w:rsidP="00D73797">
      <w:pPr>
        <w:pStyle w:val="Untertitel"/>
      </w:pPr>
      <w:r>
        <w:t>ZIRKOR oxygen analyzers from SICK</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73797" w:rsidRDefault="00D73797" w:rsidP="00D73797">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Default="00D36503" w:rsidP="00D73797">
      <w:pPr/>
    </w:p>
    <w:p w:rsidR="00E44C8E" w:rsidRDefault="000E2D3C" w:rsidP="00D36503">
      <w:pPr>
        <w:pStyle w:val="Lead"/>
      </w:pPr>
      <w:r>
        <w:t xml:space="preserve">Waldkirch, February 2017 – The new oxygen analyzers in the ZIRKOR series are extremely rugged and combine high quality with innovative performance. </w:t>
      </w:r>
      <w:r>
        <w:t xml:space="preserve">The precise devices for combustion optimization are easy to operate and completely reliable. </w:t>
      </w:r>
      <w:r>
        <w:t>They take measurements directly after combustion so the oxygen value can be perfectly adapted to the fuel.</w:t>
      </w:r>
    </w:p>
    <w:p w:rsidR="00E44C8E" w:rsidRDefault="008C5AFF" w:rsidP="00E44C8E">
      <w:pPr>
        <w:spacing w:after="240"/>
        <w:rPr>
          <w:rFonts w:cs="Arial"/>
          <w:szCs w:val="20"/>
        </w:rPr>
      </w:pPr>
      <w:r>
        <w:t xml:space="preserve">Reliable oxygen measurement is just as important for controlling an optimized combustion process as it is for emissions monitoring. </w:t>
      </w:r>
      <w:r>
        <w:t xml:space="preserve">In one of the toughest applications of industrial process automation, the analyzer must be easy to integrate and extremely resistant. </w:t>
      </w:r>
      <w:r>
        <w:t xml:space="preserve">Optimal combustion, however, relies on perfect dosing. </w:t>
      </w:r>
      <w:r>
        <w:t xml:space="preserve">Too little oxygen will result in incomplete combustion and, therefore, increased CO emissions. </w:t>
      </w:r>
      <w:r>
        <w:t xml:space="preserve">Too much oxygen, on the other hand, leads to very high heat loss via the exhaust gas. </w:t>
      </w:r>
    </w:p>
    <w:p w:rsidR="00E97274" w:rsidRPr="00E97274" w:rsidRDefault="00E44C8E" w:rsidP="00E97274">
      <w:pPr>
        <w:spacing w:after="240"/>
        <w:rPr>
          <w:szCs w:val="28"/>
        </w:rPr>
      </w:pPr>
      <w:r>
        <w:t xml:space="preserve">The ZIRKOR series provides an oxygen reference value for emission measurement in order to ensure reliable measurement results. </w:t>
      </w:r>
      <w:r>
        <w:t>There are three versions available: ZIRKOR100 for smaller plants, ZIRKOR200 for large combustion plants, and ZIRKOR302 for adjustment without test gas.</w:t>
      </w:r>
    </w:p>
    <w:p w:rsidR="00F7375F" w:rsidRPr="00F7375F" w:rsidRDefault="000C3C69" w:rsidP="00F7375F">
      <w:pPr>
        <w:pStyle w:val="berschrift2"/>
      </w:pPr>
      <w:r>
        <w:t>Tough performance – easy to operate – precise analysis</w:t>
      </w:r>
    </w:p>
    <w:p w:rsidR="00303203" w:rsidRDefault="00EA6FF8" w:rsidP="000C3C69">
      <w:pPr>
        <w:spacing w:after="240"/>
        <w:rPr>
          <w:rFonts w:cs="Arial"/>
          <w:szCs w:val="20"/>
        </w:rPr>
      </w:pPr>
      <w:r>
        <w:t xml:space="preserve">The ZIRKOR100 is extremely rugged thanks to its innovative cell technology. </w:t>
      </w:r>
      <w:r>
        <w:t xml:space="preserve">The integrated cell diagnosis function keeps maintenance work to a minimum and all important information can be accessed via ZIRKOR Remote. </w:t>
      </w:r>
    </w:p>
    <w:p w:rsidR="00EA6FF8" w:rsidRDefault="00EA6FF8" w:rsidP="000C3C69">
      <w:pPr>
        <w:spacing w:after="240"/>
        <w:rPr>
          <w:rFonts w:cs="Arial"/>
          <w:szCs w:val="20"/>
        </w:rPr>
      </w:pPr>
      <w:r>
        <w:t xml:space="preserve">The ZIRKOR200 is a high-tech analyzer with simple connection options. </w:t>
      </w:r>
      <w:r>
        <w:t xml:space="preserve">It can work in ambient temperatures of up to 1,600 °C without any problems and calibrates itself automatically. </w:t>
      </w:r>
      <w:r>
        <w:t xml:space="preserve">Thanks to its variable probe lengths and a higher number of interfaces, it can be installed in all kinds of plants and applications. </w:t>
      </w:r>
      <w:r>
        <w:t xml:space="preserve">The model that works in temperatures of up to 600 °C is also certified in accordance with EN 15267. </w:t>
      </w:r>
    </w:p>
    <w:p w:rsidR="00EA6FF8" w:rsidRDefault="00EA6FF8" w:rsidP="000C3C69">
      <w:pPr>
        <w:spacing w:after="240"/>
        <w:rPr>
          <w:rFonts w:cs="Arial"/>
          <w:szCs w:val="20"/>
        </w:rPr>
      </w:pPr>
      <w:r>
        <w:t xml:space="preserve">The main difference between ZIRKOR302 and the other two analyzers is its automated calibration using the ambient air. </w:t>
      </w:r>
      <w:r>
        <w:t xml:space="preserve">The tried-and-tested flow sensor principle does not require any test gases for this calibration and ensures a continuous, exceptionally precise measurement even at high temperatures. </w:t>
      </w:r>
      <w:r>
        <w:t>The analyzer is available with an optional integrated measuring gas pump or an ejector powered by compressed air.</w:t>
      </w:r>
    </w:p>
    <w:p w:rsidR="00303203" w:rsidRDefault="000C3C69" w:rsidP="00303203">
      <w:pPr>
        <w:spacing w:after="240"/>
        <w:rPr>
          <w:rFonts w:cs="Arial"/>
          <w:szCs w:val="20"/>
        </w:rPr>
      </w:pPr>
      <w:r>
        <w:t>Image: ZIRKOR.jpg</w:t>
      </w:r>
      <w:r>
        <w:br/>
      </w:r>
      <w:r>
        <w:t>The oxygen analyzers in the ZIRKOR series provide reliable measurement results.</w:t>
      </w:r>
    </w:p>
    <w:p w:rsidR="00D36503" w:rsidRPr="00D36503" w:rsidRDefault="00D36503" w:rsidP="00D36503">
      <w:pPr>
        <w:pStyle w:val="Boilerplate"/>
      </w:pPr>
      <w:r>
        <w:t xml:space="preserve">SICK is one of the world’s leading producers of sensors and sensor solutions for industrial applications. </w:t>
      </w:r>
      <w: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 </w:t>
      </w:r>
      <w:r>
        <w:t>In the fiscal year 2015, SICK had more than 7,400 employees worldwide and achieved Group sales of just under EUR 1.3 billion.</w:t>
      </w:r>
      <w:r>
        <w:br/>
      </w:r>
      <w:r>
        <w:t>Additional information about SICK is available on the Internet at http://www.sick.com or by phone on +49 (0) 7681 202-4183.</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C827F1" w:rsidRDefault="00C827F1" w:rsidP="00CB0E99">
      <w:pPr>
        <w:spacing w:line="240" w:lineRule="auto"/>
      </w:pPr>
      <w:r>
        <w:separator/>
      </w:r>
    </w:p>
  </w:endnote>
  <w:endnote w:type="continuationSeparator" w:id="0">
    <w:p w:rsidR="00C827F1" w:rsidRDefault="00C827F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D46802">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D46802">
      <w:rPr>
        <w:noProof/>
        <w:sz w:val="14"/>
        <w:szCs w:val="14"/>
      </w:rPr>
      <w:t>2</w:t>
    </w:r>
    <w:r w:rsidRPr="00E273D4">
      <w:rPr>
        <w:sz w:val="14"/>
        <w:szCs w:val="14"/>
      </w:rPr>
      <w:fldChar w:fldCharType="end"/>
    </w: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C827F1" w:rsidRDefault="00C827F1" w:rsidP="00CB0E99">
      <w:pPr>
        <w:spacing w:line="240" w:lineRule="auto"/>
      </w:pPr>
      <w:r>
        <w:separator/>
      </w:r>
    </w:p>
  </w:footnote>
  <w:footnote w:type="continuationSeparator" w:id="0">
    <w:p w:rsidR="00C827F1" w:rsidRDefault="00C827F1" w:rsidP="00CB0E99">
      <w:pPr>
        <w:spacing w:line="240" w:lineRule="auto"/>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rPr>
      <w:drawing>
        <wp:anchor xmlns:wp14="http://schemas.microsoft.com/office/word/2010/wordprocessingDrawing" xmlns:wp="http://schemas.openxmlformats.org/drawingml/2006/wordprocessingDrawing"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rPr>
      <w:t>PRESS RELEASE</w:t>
    </w:r>
  </w:p>
  <w:p w:rsidR="00392F4D" w:rsidRPr="00E04E05" w:rsidRDefault="002C16DF" w:rsidP="00E04E05">
    <w:pPr>
      <w:spacing w:line="384" w:lineRule="exact"/>
      <w:rPr>
        <w:rFonts w:cs="Arial"/>
        <w:szCs w:val="20"/>
      </w:rPr>
    </w:pPr>
    <w:r>
      <w:rPr>
        <w:bCs/>
        <w:noProof/>
        <w:color w:val="007FC3"/>
        <w:kern w:val="28"/>
        <w:sz w:val="32"/>
        <w:szCs w:val="32"/>
      </w:rPr>
      <w:drawing>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F1"/>
    <w:rsid w:val="000077BD"/>
    <w:rsid w:val="00047437"/>
    <w:rsid w:val="0008423C"/>
    <w:rsid w:val="000C3C69"/>
    <w:rsid w:val="000E2D3C"/>
    <w:rsid w:val="000F5C66"/>
    <w:rsid w:val="00105310"/>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2D7E"/>
    <w:rsid w:val="00286D84"/>
    <w:rsid w:val="002B10E3"/>
    <w:rsid w:val="002C16DF"/>
    <w:rsid w:val="00303203"/>
    <w:rsid w:val="00311305"/>
    <w:rsid w:val="00365DDC"/>
    <w:rsid w:val="00377DF0"/>
    <w:rsid w:val="00390C85"/>
    <w:rsid w:val="00392F4D"/>
    <w:rsid w:val="003B7380"/>
    <w:rsid w:val="003D634A"/>
    <w:rsid w:val="004B4D6A"/>
    <w:rsid w:val="004D70DF"/>
    <w:rsid w:val="005027F6"/>
    <w:rsid w:val="00514A5D"/>
    <w:rsid w:val="00516B50"/>
    <w:rsid w:val="00536ACC"/>
    <w:rsid w:val="0054339C"/>
    <w:rsid w:val="00547286"/>
    <w:rsid w:val="005554B4"/>
    <w:rsid w:val="005774AB"/>
    <w:rsid w:val="005864EF"/>
    <w:rsid w:val="005C12ED"/>
    <w:rsid w:val="005C6C38"/>
    <w:rsid w:val="005E790D"/>
    <w:rsid w:val="005F0DE6"/>
    <w:rsid w:val="005F4798"/>
    <w:rsid w:val="00620BA5"/>
    <w:rsid w:val="006374FF"/>
    <w:rsid w:val="00637F15"/>
    <w:rsid w:val="006A725F"/>
    <w:rsid w:val="006C5AFB"/>
    <w:rsid w:val="006D7DA2"/>
    <w:rsid w:val="006F09FE"/>
    <w:rsid w:val="006F6DE2"/>
    <w:rsid w:val="00714419"/>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C5AFF"/>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65DAD"/>
    <w:rsid w:val="00C7643D"/>
    <w:rsid w:val="00C827F1"/>
    <w:rsid w:val="00C84DBD"/>
    <w:rsid w:val="00C92212"/>
    <w:rsid w:val="00CB0E99"/>
    <w:rsid w:val="00CB6416"/>
    <w:rsid w:val="00CC083F"/>
    <w:rsid w:val="00D36503"/>
    <w:rsid w:val="00D46802"/>
    <w:rsid w:val="00D73797"/>
    <w:rsid w:val="00D7448E"/>
    <w:rsid w:val="00D876C8"/>
    <w:rsid w:val="00D90FB6"/>
    <w:rsid w:val="00D94555"/>
    <w:rsid w:val="00D97B8B"/>
    <w:rsid w:val="00DA1D78"/>
    <w:rsid w:val="00DA4CC7"/>
    <w:rsid w:val="00DC0193"/>
    <w:rsid w:val="00DD4751"/>
    <w:rsid w:val="00DF74C4"/>
    <w:rsid w:val="00E00220"/>
    <w:rsid w:val="00E04E05"/>
    <w:rsid w:val="00E232B4"/>
    <w:rsid w:val="00E273D4"/>
    <w:rsid w:val="00E33724"/>
    <w:rsid w:val="00E43D52"/>
    <w:rsid w:val="00E44C8E"/>
    <w:rsid w:val="00E6119A"/>
    <w:rsid w:val="00E753B2"/>
    <w:rsid w:val="00E97274"/>
    <w:rsid w:val="00EA6FF8"/>
    <w:rsid w:val="00ED34D2"/>
    <w:rsid w:val="00EE67CC"/>
    <w:rsid w:val="00EF53D1"/>
    <w:rsid w:val="00F05A05"/>
    <w:rsid w:val="00F17459"/>
    <w:rsid w:val="00F52337"/>
    <w:rsid w:val="00F5454F"/>
    <w:rsid w:val="00F71F77"/>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0" Type="http://schemas.openxmlformats.org/officeDocument/2006/relationships/footer" Target="footer1.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theme" Target="theme/theme1.xml" />  <Relationship Id="rId15" Type="http://schemas.openxmlformats.org/officeDocument/2006/relationships/comments" Target="comments.xml" /></Relationships>
</file>

<file path=word/_rels/header1.xml.rels><?xml version="1.0" encoding="utf-8"?><Relationships xmlns="http://schemas.openxmlformats.org/package/2006/relationships"><Relationship Id="rId1" Type="http://schemas.openxmlformats.org/officeDocument/2006/relationships/image" Target="media/image1.jpeg" /></Relationships>
</file>

<file path=word/_rels/header2.xml.rels><?xml version="1.0" encoding="utf-8"?><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ED29-80CC-4B59-AEAB-49165441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427</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Baumann, Georgiana</cp:lastModifiedBy>
  <cp:revision>15</cp:revision>
  <cp:lastPrinted>2016-12-15T13:35:00Z</cp:lastPrinted>
  <dcterms:created xsi:type="dcterms:W3CDTF">2016-12-12T11:02:00Z</dcterms:created>
  <dcterms:modified xsi:type="dcterms:W3CDTF">2017-01-19T17:37:00Z</dcterms:modified>
</cp:coreProperties>
</file>