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37" w:rsidRPr="00EE0DFF" w:rsidRDefault="009F3237" w:rsidP="00804E03">
      <w:pPr>
        <w:spacing w:after="0" w:line="360" w:lineRule="atLeast"/>
        <w:rPr>
          <w:b/>
          <w:color w:val="595959"/>
          <w:sz w:val="32"/>
          <w:szCs w:val="32"/>
        </w:rPr>
      </w:pPr>
      <w:r w:rsidRPr="009F3237">
        <w:rPr>
          <w:b/>
          <w:color w:val="595959"/>
          <w:sz w:val="32"/>
          <w:szCs w:val="32"/>
        </w:rPr>
        <w:t>Füllstandmessung</w:t>
      </w:r>
      <w:r w:rsidRPr="00EE0DFF">
        <w:rPr>
          <w:b/>
          <w:color w:val="595959"/>
          <w:sz w:val="32"/>
          <w:szCs w:val="32"/>
        </w:rPr>
        <w:t xml:space="preserve"> in jeder Umgebung bis zu 6 Meter:</w:t>
      </w:r>
    </w:p>
    <w:p w:rsidR="009F3237" w:rsidRPr="00EE0DFF" w:rsidRDefault="009F3237" w:rsidP="00804E03">
      <w:pPr>
        <w:spacing w:after="0" w:line="360" w:lineRule="atLeast"/>
        <w:rPr>
          <w:b/>
          <w:color w:val="595959"/>
          <w:sz w:val="32"/>
          <w:szCs w:val="32"/>
        </w:rPr>
      </w:pPr>
      <w:r w:rsidRPr="009F3237">
        <w:rPr>
          <w:b/>
          <w:color w:val="595959"/>
          <w:sz w:val="32"/>
          <w:szCs w:val="32"/>
        </w:rPr>
        <w:t xml:space="preserve">LFP </w:t>
      </w:r>
      <w:proofErr w:type="spellStart"/>
      <w:r w:rsidRPr="009F3237">
        <w:rPr>
          <w:b/>
          <w:color w:val="595959"/>
          <w:sz w:val="32"/>
          <w:szCs w:val="32"/>
        </w:rPr>
        <w:t>Inox</w:t>
      </w:r>
      <w:proofErr w:type="spellEnd"/>
      <w:r w:rsidRPr="00EE0DFF">
        <w:rPr>
          <w:b/>
          <w:color w:val="595959"/>
          <w:sz w:val="32"/>
          <w:szCs w:val="32"/>
        </w:rPr>
        <w:t xml:space="preserve"> und </w:t>
      </w:r>
      <w:r w:rsidRPr="009F3237">
        <w:rPr>
          <w:b/>
          <w:color w:val="595959"/>
          <w:sz w:val="32"/>
          <w:szCs w:val="32"/>
        </w:rPr>
        <w:t xml:space="preserve">LFP </w:t>
      </w:r>
      <w:proofErr w:type="spellStart"/>
      <w:r w:rsidRPr="009F3237">
        <w:rPr>
          <w:b/>
          <w:color w:val="595959"/>
          <w:sz w:val="32"/>
          <w:szCs w:val="32"/>
        </w:rPr>
        <w:t>Cubic</w:t>
      </w:r>
      <w:proofErr w:type="spellEnd"/>
      <w:r w:rsidRPr="00EE0DFF">
        <w:rPr>
          <w:b/>
          <w:color w:val="595959"/>
          <w:sz w:val="32"/>
          <w:szCs w:val="32"/>
        </w:rPr>
        <w:t xml:space="preserve"> – </w:t>
      </w:r>
      <w:r w:rsidRPr="009F3237">
        <w:rPr>
          <w:b/>
          <w:color w:val="595959"/>
          <w:sz w:val="32"/>
          <w:szCs w:val="32"/>
        </w:rPr>
        <w:t>kompakt</w:t>
      </w:r>
      <w:r w:rsidRPr="00EE0DFF">
        <w:rPr>
          <w:b/>
          <w:color w:val="595959"/>
          <w:sz w:val="32"/>
          <w:szCs w:val="32"/>
        </w:rPr>
        <w:t xml:space="preserve"> oder mit Sonde</w:t>
      </w:r>
    </w:p>
    <w:p w:rsidR="009F3237" w:rsidRDefault="009F3237" w:rsidP="00804E03">
      <w:pPr>
        <w:spacing w:after="0"/>
      </w:pPr>
    </w:p>
    <w:p w:rsidR="009F3237" w:rsidRPr="00EE0DFF" w:rsidRDefault="004D260A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b/>
          <w:color w:val="595959"/>
          <w:szCs w:val="20"/>
        </w:rPr>
      </w:pPr>
      <w:r>
        <w:rPr>
          <w:rFonts w:cs="Arial"/>
          <w:b/>
          <w:color w:val="595959"/>
          <w:szCs w:val="20"/>
        </w:rPr>
        <w:t>Waldkirch, April</w:t>
      </w:r>
      <w:bookmarkStart w:id="0" w:name="_GoBack"/>
      <w:bookmarkEnd w:id="0"/>
      <w:r w:rsidR="009F3237" w:rsidRPr="00EE0DFF">
        <w:rPr>
          <w:rFonts w:cs="Arial"/>
          <w:b/>
          <w:color w:val="595959"/>
          <w:szCs w:val="20"/>
        </w:rPr>
        <w:t xml:space="preserve"> 2015 - Ob kontinuierliche </w:t>
      </w:r>
      <w:r w:rsidR="009F3237" w:rsidRPr="009F3237">
        <w:rPr>
          <w:rFonts w:cs="Arial"/>
          <w:b/>
          <w:color w:val="595959"/>
          <w:szCs w:val="20"/>
        </w:rPr>
        <w:t>Füllstandmessung</w:t>
      </w:r>
      <w:r w:rsidR="009F3237" w:rsidRPr="00EE0DFF">
        <w:rPr>
          <w:rFonts w:cs="Arial"/>
          <w:b/>
          <w:color w:val="595959"/>
          <w:szCs w:val="20"/>
        </w:rPr>
        <w:t xml:space="preserve">, </w:t>
      </w:r>
      <w:r w:rsidR="009F3237" w:rsidRPr="009F3237">
        <w:rPr>
          <w:rFonts w:cs="Arial"/>
          <w:b/>
          <w:color w:val="595959"/>
          <w:szCs w:val="20"/>
        </w:rPr>
        <w:t>Grenzstandmessung</w:t>
      </w:r>
      <w:r w:rsidR="009F3237" w:rsidRPr="00EE0DFF">
        <w:rPr>
          <w:rFonts w:cs="Arial"/>
          <w:b/>
          <w:color w:val="595959"/>
          <w:szCs w:val="20"/>
        </w:rPr>
        <w:t xml:space="preserve"> oder beides kombiniert – </w:t>
      </w:r>
      <w:r w:rsidR="009F3237" w:rsidRPr="009F3237">
        <w:rPr>
          <w:rFonts w:cs="Arial"/>
          <w:b/>
          <w:color w:val="595959"/>
          <w:szCs w:val="20"/>
        </w:rPr>
        <w:t>SICK</w:t>
      </w:r>
      <w:r w:rsidR="009F3237" w:rsidRPr="00EE0DFF">
        <w:rPr>
          <w:rFonts w:cs="Arial"/>
          <w:b/>
          <w:color w:val="595959"/>
          <w:szCs w:val="20"/>
        </w:rPr>
        <w:t xml:space="preserve"> hat eine breite </w:t>
      </w:r>
      <w:r w:rsidR="009F3237" w:rsidRPr="009F3237">
        <w:rPr>
          <w:rFonts w:cs="Arial"/>
          <w:b/>
          <w:color w:val="595959"/>
          <w:szCs w:val="20"/>
        </w:rPr>
        <w:t>Palette</w:t>
      </w:r>
      <w:r w:rsidR="009F3237" w:rsidRPr="00EE0DFF">
        <w:rPr>
          <w:rFonts w:cs="Arial"/>
          <w:b/>
          <w:color w:val="595959"/>
          <w:szCs w:val="20"/>
        </w:rPr>
        <w:t xml:space="preserve"> an Lösungen zur Prozesssteuerung, Bevorratung und </w:t>
      </w:r>
      <w:r w:rsidR="009F3237" w:rsidRPr="009F3237">
        <w:rPr>
          <w:rFonts w:cs="Arial"/>
          <w:b/>
          <w:color w:val="595959"/>
          <w:szCs w:val="20"/>
        </w:rPr>
        <w:t>Absicherung</w:t>
      </w:r>
      <w:r w:rsidR="009F3237" w:rsidRPr="00EE0DFF">
        <w:rPr>
          <w:rFonts w:cs="Arial"/>
          <w:b/>
          <w:color w:val="595959"/>
          <w:szCs w:val="20"/>
        </w:rPr>
        <w:t xml:space="preserve">, passend für jede Einbausituation und für verschiedenste Flüssigkeiten und Messumgebungen - immer mit dem einen Ziel: effiziente </w:t>
      </w:r>
      <w:r w:rsidR="009F3237" w:rsidRPr="009F3237">
        <w:rPr>
          <w:rFonts w:cs="Arial"/>
          <w:b/>
          <w:color w:val="595959"/>
          <w:szCs w:val="20"/>
        </w:rPr>
        <w:t>Prozesse</w:t>
      </w:r>
      <w:r w:rsidR="009F3237" w:rsidRPr="00EE0DFF">
        <w:rPr>
          <w:rFonts w:cs="Arial"/>
          <w:b/>
          <w:color w:val="595959"/>
          <w:szCs w:val="20"/>
        </w:rPr>
        <w:t xml:space="preserve"> zu ermöglichen. Mit den </w:t>
      </w:r>
      <w:r w:rsidR="009F3237" w:rsidRPr="009F3237">
        <w:rPr>
          <w:rFonts w:cs="Arial"/>
          <w:b/>
          <w:color w:val="595959"/>
          <w:szCs w:val="20"/>
        </w:rPr>
        <w:t>Füllstandsensoren</w:t>
      </w:r>
      <w:r w:rsidR="009F3237" w:rsidRPr="00EE0DFF">
        <w:rPr>
          <w:rFonts w:cs="Arial"/>
          <w:b/>
          <w:color w:val="595959"/>
          <w:szCs w:val="20"/>
        </w:rPr>
        <w:t xml:space="preserve"> </w:t>
      </w:r>
      <w:r w:rsidR="009F3237" w:rsidRPr="009F3237">
        <w:rPr>
          <w:rFonts w:cs="Arial"/>
          <w:b/>
          <w:color w:val="595959"/>
          <w:szCs w:val="20"/>
        </w:rPr>
        <w:t xml:space="preserve">LFP </w:t>
      </w:r>
      <w:proofErr w:type="spellStart"/>
      <w:r w:rsidR="009F3237" w:rsidRPr="009F3237">
        <w:rPr>
          <w:rFonts w:cs="Arial"/>
          <w:b/>
          <w:color w:val="595959"/>
          <w:szCs w:val="20"/>
        </w:rPr>
        <w:t>Cubic</w:t>
      </w:r>
      <w:proofErr w:type="spellEnd"/>
      <w:r w:rsidR="009F3237" w:rsidRPr="00EE0DFF">
        <w:rPr>
          <w:rFonts w:cs="Arial"/>
          <w:b/>
          <w:color w:val="595959"/>
          <w:szCs w:val="20"/>
        </w:rPr>
        <w:t xml:space="preserve"> und </w:t>
      </w:r>
      <w:r w:rsidR="009F3237" w:rsidRPr="009F3237">
        <w:rPr>
          <w:rFonts w:cs="Arial"/>
          <w:b/>
          <w:color w:val="595959"/>
          <w:szCs w:val="20"/>
        </w:rPr>
        <w:t xml:space="preserve">LFP </w:t>
      </w:r>
      <w:proofErr w:type="spellStart"/>
      <w:r w:rsidR="009F3237" w:rsidRPr="009F3237">
        <w:rPr>
          <w:rFonts w:cs="Arial"/>
          <w:b/>
          <w:color w:val="595959"/>
          <w:szCs w:val="20"/>
        </w:rPr>
        <w:t>Inox</w:t>
      </w:r>
      <w:proofErr w:type="spellEnd"/>
      <w:r w:rsidR="009F3237" w:rsidRPr="00EE0DFF">
        <w:rPr>
          <w:rFonts w:cs="Arial"/>
          <w:b/>
          <w:color w:val="595959"/>
          <w:szCs w:val="20"/>
        </w:rPr>
        <w:t xml:space="preserve"> bietet </w:t>
      </w:r>
      <w:r w:rsidR="009F3237" w:rsidRPr="009F3237">
        <w:rPr>
          <w:rFonts w:cs="Arial"/>
          <w:b/>
          <w:color w:val="595959"/>
          <w:szCs w:val="20"/>
        </w:rPr>
        <w:t>SICK</w:t>
      </w:r>
      <w:r w:rsidR="009F3237" w:rsidRPr="00EE0DFF">
        <w:rPr>
          <w:rFonts w:cs="Arial"/>
          <w:b/>
          <w:color w:val="595959"/>
          <w:szCs w:val="20"/>
        </w:rPr>
        <w:t xml:space="preserve"> Lösungen für jede Anwendung, in j</w:t>
      </w:r>
      <w:r w:rsidR="009F3237" w:rsidRPr="00EE0DFF">
        <w:rPr>
          <w:rFonts w:cs="Arial"/>
          <w:b/>
          <w:color w:val="595959"/>
          <w:szCs w:val="20"/>
        </w:rPr>
        <w:t>e</w:t>
      </w:r>
      <w:r w:rsidR="009F3237" w:rsidRPr="00EE0DFF">
        <w:rPr>
          <w:rFonts w:cs="Arial"/>
          <w:b/>
          <w:color w:val="595959"/>
          <w:szCs w:val="20"/>
        </w:rPr>
        <w:t>der Umgebung.</w:t>
      </w:r>
    </w:p>
    <w:p w:rsidR="009F3237" w:rsidRPr="00EE0DFF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b/>
          <w:color w:val="595959"/>
          <w:szCs w:val="20"/>
        </w:rPr>
      </w:pPr>
    </w:p>
    <w:p w:rsidR="009F3237" w:rsidRPr="00EE0DFF" w:rsidRDefault="009F3237" w:rsidP="00804E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595959"/>
          <w:szCs w:val="20"/>
        </w:rPr>
      </w:pPr>
      <w:r w:rsidRPr="00EE0DFF">
        <w:rPr>
          <w:rFonts w:cs="Arial"/>
          <w:b/>
          <w:color w:val="595959"/>
          <w:szCs w:val="20"/>
        </w:rPr>
        <w:t>Die Technologie: zuverlässig und flexibel</w:t>
      </w:r>
    </w:p>
    <w:p w:rsidR="009F3237" w:rsidRPr="00EE0DFF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color w:val="595959"/>
          <w:szCs w:val="20"/>
        </w:rPr>
      </w:pP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Cubic</w:t>
      </w:r>
      <w:proofErr w:type="spellEnd"/>
      <w:r w:rsidRPr="00EE0DFF">
        <w:rPr>
          <w:rFonts w:cs="Arial"/>
          <w:color w:val="595959"/>
          <w:szCs w:val="20"/>
        </w:rPr>
        <w:t xml:space="preserve"> und </w:t>
      </w: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Inox</w:t>
      </w:r>
      <w:proofErr w:type="spellEnd"/>
      <w:r w:rsidRPr="00EE0DFF">
        <w:rPr>
          <w:rFonts w:cs="Arial"/>
          <w:color w:val="595959"/>
          <w:szCs w:val="20"/>
        </w:rPr>
        <w:t xml:space="preserve"> basieren auf der </w:t>
      </w:r>
      <w:proofErr w:type="spellStart"/>
      <w:r w:rsidRPr="009F3237">
        <w:rPr>
          <w:rFonts w:cs="Arial"/>
          <w:color w:val="595959"/>
          <w:szCs w:val="20"/>
        </w:rPr>
        <w:t>Zeitbereichsreflektometrie</w:t>
      </w:r>
      <w:proofErr w:type="spellEnd"/>
      <w:r w:rsidRPr="00EE0DFF">
        <w:rPr>
          <w:rFonts w:cs="Arial"/>
          <w:color w:val="595959"/>
          <w:szCs w:val="20"/>
        </w:rPr>
        <w:t xml:space="preserve">, engl.: Time Domain </w:t>
      </w:r>
      <w:proofErr w:type="spellStart"/>
      <w:r w:rsidRPr="009F3237">
        <w:rPr>
          <w:rFonts w:cs="Arial"/>
          <w:color w:val="595959"/>
          <w:szCs w:val="20"/>
        </w:rPr>
        <w:t>Reflectome</w:t>
      </w:r>
      <w:r w:rsidRPr="009F3237">
        <w:rPr>
          <w:rFonts w:cs="Arial"/>
          <w:color w:val="595959"/>
          <w:szCs w:val="20"/>
        </w:rPr>
        <w:t>t</w:t>
      </w:r>
      <w:r w:rsidRPr="009F3237">
        <w:rPr>
          <w:rFonts w:cs="Arial"/>
          <w:color w:val="595959"/>
          <w:szCs w:val="20"/>
        </w:rPr>
        <w:t>ry</w:t>
      </w:r>
      <w:proofErr w:type="spellEnd"/>
      <w:r w:rsidRPr="00EE0DFF">
        <w:rPr>
          <w:rFonts w:cs="Arial"/>
          <w:color w:val="595959"/>
          <w:szCs w:val="20"/>
        </w:rPr>
        <w:t xml:space="preserve"> (TDR):</w:t>
      </w:r>
      <w:r>
        <w:rPr>
          <w:rFonts w:ascii="SICKFranklin-Regular" w:hAnsi="SICKFranklin-Regular" w:cs="SICKFranklin-Regular"/>
          <w:color w:val="000000"/>
          <w:sz w:val="18"/>
          <w:szCs w:val="18"/>
        </w:rPr>
        <w:t xml:space="preserve"> </w:t>
      </w:r>
      <w:r w:rsidRPr="00EE0DFF">
        <w:rPr>
          <w:rFonts w:cs="Arial"/>
          <w:color w:val="595959"/>
          <w:szCs w:val="20"/>
        </w:rPr>
        <w:t xml:space="preserve">Dadurch lassen sich die </w:t>
      </w:r>
      <w:r w:rsidRPr="009F3237">
        <w:rPr>
          <w:rFonts w:cs="Arial"/>
          <w:color w:val="595959"/>
          <w:szCs w:val="20"/>
        </w:rPr>
        <w:t>Sensoren</w:t>
      </w:r>
      <w:r w:rsidRPr="00EE0DFF">
        <w:rPr>
          <w:rFonts w:cs="Arial"/>
          <w:color w:val="595959"/>
          <w:szCs w:val="20"/>
        </w:rPr>
        <w:t xml:space="preserve"> universell einsetzen – unabhängig von Einbausituation, Behältergröße und Messmedium. Das Verfahren bietet höchste Zuverlässigkeit und beste </w:t>
      </w:r>
      <w:r w:rsidRPr="009F3237">
        <w:rPr>
          <w:rFonts w:cs="Arial"/>
          <w:color w:val="595959"/>
          <w:szCs w:val="20"/>
        </w:rPr>
        <w:t>Messe</w:t>
      </w:r>
      <w:r w:rsidRPr="009F3237">
        <w:rPr>
          <w:rFonts w:cs="Arial"/>
          <w:color w:val="595959"/>
          <w:szCs w:val="20"/>
        </w:rPr>
        <w:t>r</w:t>
      </w:r>
      <w:r w:rsidRPr="009F3237">
        <w:rPr>
          <w:rFonts w:cs="Arial"/>
          <w:color w:val="595959"/>
          <w:szCs w:val="20"/>
        </w:rPr>
        <w:t>gebnisse</w:t>
      </w:r>
      <w:r w:rsidRPr="00EE0DFF">
        <w:rPr>
          <w:rFonts w:cs="Arial"/>
          <w:color w:val="595959"/>
          <w:szCs w:val="20"/>
        </w:rPr>
        <w:t xml:space="preserve">. </w:t>
      </w:r>
    </w:p>
    <w:p w:rsidR="009F3237" w:rsidRPr="00EE0DFF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color w:val="595959"/>
          <w:szCs w:val="20"/>
        </w:rPr>
      </w:pPr>
    </w:p>
    <w:p w:rsidR="009F3237" w:rsidRPr="00EE0DFF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b/>
          <w:color w:val="595959"/>
          <w:szCs w:val="20"/>
        </w:rPr>
      </w:pPr>
      <w:r w:rsidRPr="00EE0DFF">
        <w:rPr>
          <w:rFonts w:cs="Arial"/>
          <w:b/>
          <w:color w:val="595959"/>
          <w:szCs w:val="20"/>
        </w:rPr>
        <w:t>Das Portfolio: passend für jede Anwendung</w:t>
      </w:r>
    </w:p>
    <w:p w:rsidR="009F3237" w:rsidRPr="00EE0DFF" w:rsidRDefault="009F3237" w:rsidP="00804E03">
      <w:pPr>
        <w:spacing w:after="0" w:line="360" w:lineRule="atLeast"/>
        <w:jc w:val="both"/>
        <w:rPr>
          <w:rFonts w:cs="Arial"/>
          <w:color w:val="595959"/>
          <w:szCs w:val="20"/>
        </w:rPr>
      </w:pP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Cubic</w:t>
      </w:r>
      <w:proofErr w:type="spellEnd"/>
      <w:r>
        <w:rPr>
          <w:rFonts w:cs="Arial"/>
          <w:color w:val="595959"/>
          <w:szCs w:val="20"/>
        </w:rPr>
        <w:t xml:space="preserve"> und</w:t>
      </w:r>
      <w:r w:rsidRPr="00EE0DFF">
        <w:rPr>
          <w:rFonts w:cs="Arial"/>
          <w:color w:val="595959"/>
          <w:szCs w:val="20"/>
        </w:rPr>
        <w:t xml:space="preserve"> </w:t>
      </w: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Inox</w:t>
      </w:r>
      <w:proofErr w:type="spellEnd"/>
      <w:r>
        <w:rPr>
          <w:rFonts w:cs="Arial"/>
          <w:color w:val="595959"/>
          <w:szCs w:val="20"/>
        </w:rPr>
        <w:t xml:space="preserve"> sind</w:t>
      </w:r>
      <w:r w:rsidRPr="00EE0DFF">
        <w:rPr>
          <w:rFonts w:cs="Arial"/>
          <w:color w:val="595959"/>
          <w:szCs w:val="20"/>
        </w:rPr>
        <w:t xml:space="preserve"> die Lösung für vielfältige Applikationen: Das Portfolio umfasst </w:t>
      </w:r>
      <w:r w:rsidRPr="009F3237">
        <w:rPr>
          <w:rFonts w:cs="Arial"/>
          <w:color w:val="595959"/>
          <w:szCs w:val="20"/>
        </w:rPr>
        <w:t>Fül</w:t>
      </w:r>
      <w:r w:rsidRPr="009F3237">
        <w:rPr>
          <w:rFonts w:cs="Arial"/>
          <w:color w:val="595959"/>
          <w:szCs w:val="20"/>
        </w:rPr>
        <w:t>l</w:t>
      </w:r>
      <w:r w:rsidRPr="009F3237">
        <w:rPr>
          <w:rFonts w:cs="Arial"/>
          <w:color w:val="595959"/>
          <w:szCs w:val="20"/>
        </w:rPr>
        <w:t>standsensoren</w:t>
      </w:r>
      <w:r w:rsidRPr="00EE0DFF">
        <w:rPr>
          <w:rFonts w:cs="Arial"/>
          <w:color w:val="595959"/>
          <w:szCs w:val="20"/>
        </w:rPr>
        <w:t xml:space="preserve"> für den Einsatz im Maschinenbau, in der Lebensmittel-, Getränke- und in der Pharm</w:t>
      </w:r>
      <w:r w:rsidRPr="00EE0DFF">
        <w:rPr>
          <w:rFonts w:cs="Arial"/>
          <w:color w:val="595959"/>
          <w:szCs w:val="20"/>
        </w:rPr>
        <w:t>a</w:t>
      </w:r>
      <w:r w:rsidRPr="00EE0DFF">
        <w:rPr>
          <w:rFonts w:cs="Arial"/>
          <w:color w:val="595959"/>
          <w:szCs w:val="20"/>
        </w:rPr>
        <w:t xml:space="preserve">industrie. Selbst exakte </w:t>
      </w:r>
      <w:r w:rsidRPr="009F3237">
        <w:rPr>
          <w:rFonts w:cs="Arial"/>
          <w:color w:val="595959"/>
          <w:szCs w:val="20"/>
        </w:rPr>
        <w:t>Füllstandmessung</w:t>
      </w:r>
      <w:r w:rsidRPr="00EE0DFF">
        <w:rPr>
          <w:rFonts w:cs="Arial"/>
          <w:color w:val="595959"/>
          <w:szCs w:val="20"/>
        </w:rPr>
        <w:t xml:space="preserve"> </w:t>
      </w:r>
      <w:r w:rsidRPr="00E310B5">
        <w:rPr>
          <w:rFonts w:cs="Arial"/>
          <w:color w:val="595959"/>
          <w:szCs w:val="20"/>
        </w:rPr>
        <w:t>bei</w:t>
      </w:r>
      <w:r w:rsidRPr="00EE0DFF">
        <w:rPr>
          <w:rFonts w:cs="Arial"/>
          <w:color w:val="595959"/>
          <w:szCs w:val="20"/>
        </w:rPr>
        <w:t xml:space="preserve"> stark schäumenden </w:t>
      </w:r>
      <w:r w:rsidRPr="00E310B5">
        <w:rPr>
          <w:rFonts w:cs="Arial"/>
          <w:color w:val="595959"/>
          <w:szCs w:val="20"/>
        </w:rPr>
        <w:t>Medien</w:t>
      </w:r>
      <w:r w:rsidRPr="00EE0DFF">
        <w:rPr>
          <w:rFonts w:cs="Arial"/>
          <w:color w:val="595959"/>
          <w:szCs w:val="20"/>
        </w:rPr>
        <w:t xml:space="preserve"> – kein Problem für die </w:t>
      </w:r>
      <w:r w:rsidRPr="009F3237">
        <w:rPr>
          <w:rFonts w:cs="Arial"/>
          <w:color w:val="595959"/>
          <w:szCs w:val="20"/>
        </w:rPr>
        <w:t>Fül</w:t>
      </w:r>
      <w:r w:rsidRPr="009F3237">
        <w:rPr>
          <w:rFonts w:cs="Arial"/>
          <w:color w:val="595959"/>
          <w:szCs w:val="20"/>
        </w:rPr>
        <w:t>l</w:t>
      </w:r>
      <w:r w:rsidRPr="009F3237">
        <w:rPr>
          <w:rFonts w:cs="Arial"/>
          <w:color w:val="595959"/>
          <w:szCs w:val="20"/>
        </w:rPr>
        <w:t>standsensoren</w:t>
      </w:r>
      <w:r w:rsidRPr="00EE0DFF">
        <w:rPr>
          <w:rFonts w:cs="Arial"/>
          <w:color w:val="595959"/>
          <w:szCs w:val="20"/>
        </w:rPr>
        <w:t xml:space="preserve">. Durch unterschiedliche </w:t>
      </w:r>
      <w:proofErr w:type="spellStart"/>
      <w:r w:rsidRPr="00EE0DFF">
        <w:rPr>
          <w:rFonts w:cs="Arial"/>
          <w:color w:val="595959"/>
          <w:szCs w:val="20"/>
        </w:rPr>
        <w:t>Sondenlängen</w:t>
      </w:r>
      <w:proofErr w:type="spellEnd"/>
      <w:r w:rsidRPr="00EE0DFF">
        <w:rPr>
          <w:rFonts w:cs="Arial"/>
          <w:color w:val="595959"/>
          <w:szCs w:val="20"/>
        </w:rPr>
        <w:t xml:space="preserve"> und </w:t>
      </w:r>
      <w:proofErr w:type="spellStart"/>
      <w:r w:rsidRPr="00EE0DFF">
        <w:rPr>
          <w:rFonts w:cs="Arial"/>
          <w:color w:val="595959"/>
          <w:szCs w:val="20"/>
        </w:rPr>
        <w:t>Sondenarten</w:t>
      </w:r>
      <w:proofErr w:type="spellEnd"/>
      <w:r w:rsidRPr="00EE0DFF">
        <w:rPr>
          <w:rFonts w:cs="Arial"/>
          <w:color w:val="595959"/>
          <w:szCs w:val="20"/>
        </w:rPr>
        <w:t xml:space="preserve">, </w:t>
      </w:r>
      <w:r w:rsidRPr="009F3237">
        <w:rPr>
          <w:rFonts w:cs="Arial"/>
          <w:color w:val="595959"/>
          <w:szCs w:val="20"/>
        </w:rPr>
        <w:t>Variante</w:t>
      </w:r>
      <w:r w:rsidRPr="00EE0DFF">
        <w:rPr>
          <w:rFonts w:cs="Arial"/>
          <w:color w:val="595959"/>
          <w:szCs w:val="20"/>
        </w:rPr>
        <w:t xml:space="preserve"> mit Stabsonde, Koaxialrohr, Seilsonde oder als Kompaktversion ohne Sonde, bietet </w:t>
      </w:r>
      <w:r w:rsidRPr="009F3237">
        <w:rPr>
          <w:rFonts w:cs="Arial"/>
          <w:color w:val="595959"/>
          <w:szCs w:val="20"/>
        </w:rPr>
        <w:t>SICK</w:t>
      </w:r>
      <w:r w:rsidRPr="00EE0DFF">
        <w:rPr>
          <w:rFonts w:cs="Arial"/>
          <w:color w:val="595959"/>
          <w:szCs w:val="20"/>
        </w:rPr>
        <w:t xml:space="preserve"> für jede Anwendung die richtige Lösung. Das spart Platz und Kosten. Mit der </w:t>
      </w:r>
      <w:r w:rsidRPr="009F3237">
        <w:rPr>
          <w:rFonts w:cs="Arial"/>
          <w:color w:val="595959"/>
          <w:szCs w:val="20"/>
        </w:rPr>
        <w:t>Variante</w:t>
      </w:r>
      <w:r w:rsidRPr="00EE0DFF">
        <w:rPr>
          <w:rFonts w:cs="Arial"/>
          <w:color w:val="595959"/>
          <w:szCs w:val="20"/>
        </w:rPr>
        <w:t xml:space="preserve"> mit </w:t>
      </w:r>
      <w:r w:rsidRPr="009F3237">
        <w:rPr>
          <w:rFonts w:cs="Arial"/>
          <w:color w:val="595959"/>
          <w:szCs w:val="20"/>
        </w:rPr>
        <w:t>abgesetzter Elektronik</w:t>
      </w:r>
      <w:r w:rsidRPr="00EE0DFF">
        <w:rPr>
          <w:rFonts w:cs="Arial"/>
          <w:color w:val="595959"/>
          <w:szCs w:val="20"/>
        </w:rPr>
        <w:t xml:space="preserve"> mit bis zu drei Metern </w:t>
      </w:r>
      <w:r w:rsidRPr="009F3237">
        <w:rPr>
          <w:rFonts w:cs="Arial"/>
          <w:color w:val="595959"/>
          <w:szCs w:val="20"/>
        </w:rPr>
        <w:t>Kabellänge</w:t>
      </w:r>
      <w:r w:rsidRPr="00EE0DFF">
        <w:rPr>
          <w:rFonts w:cs="Arial"/>
          <w:color w:val="595959"/>
          <w:szCs w:val="20"/>
        </w:rPr>
        <w:t xml:space="preserve"> hat </w:t>
      </w:r>
      <w:r w:rsidRPr="009F3237">
        <w:rPr>
          <w:rFonts w:cs="Arial"/>
          <w:color w:val="595959"/>
          <w:szCs w:val="20"/>
        </w:rPr>
        <w:t>SICK</w:t>
      </w:r>
      <w:r w:rsidRPr="00EE0DFF">
        <w:rPr>
          <w:rFonts w:cs="Arial"/>
          <w:color w:val="595959"/>
          <w:szCs w:val="20"/>
        </w:rPr>
        <w:t xml:space="preserve"> die platzsparende Lösung bei wenig Einbauraum, bei der zudem die </w:t>
      </w:r>
      <w:r w:rsidRPr="009F3237">
        <w:rPr>
          <w:rFonts w:cs="Arial"/>
          <w:color w:val="595959"/>
          <w:szCs w:val="20"/>
        </w:rPr>
        <w:t>Elektronik</w:t>
      </w:r>
      <w:r w:rsidRPr="00EE0DFF">
        <w:rPr>
          <w:rFonts w:cs="Arial"/>
          <w:color w:val="595959"/>
          <w:szCs w:val="20"/>
        </w:rPr>
        <w:t xml:space="preserve"> vor Prozesswärme geschützt wird. </w:t>
      </w:r>
      <w:r w:rsidRPr="009F3237">
        <w:rPr>
          <w:rFonts w:cs="Arial"/>
          <w:color w:val="595959"/>
          <w:szCs w:val="20"/>
        </w:rPr>
        <w:t>Gerade</w:t>
      </w:r>
      <w:r w:rsidRPr="00EE0DFF">
        <w:rPr>
          <w:rFonts w:cs="Arial"/>
          <w:color w:val="595959"/>
          <w:szCs w:val="20"/>
        </w:rPr>
        <w:t xml:space="preserve"> für den Einsatz in hohen Tanks bietet dies enorme Vorteile: Da die </w:t>
      </w:r>
      <w:r w:rsidRPr="009F3237">
        <w:rPr>
          <w:rFonts w:cs="Arial"/>
          <w:color w:val="595959"/>
          <w:szCs w:val="20"/>
        </w:rPr>
        <w:t>Elektronik</w:t>
      </w:r>
      <w:r w:rsidRPr="00EE0DFF">
        <w:rPr>
          <w:rFonts w:cs="Arial"/>
          <w:color w:val="595959"/>
          <w:szCs w:val="20"/>
        </w:rPr>
        <w:t xml:space="preserve"> </w:t>
      </w:r>
      <w:r w:rsidRPr="009F3237">
        <w:rPr>
          <w:rFonts w:cs="Arial"/>
          <w:color w:val="595959"/>
          <w:szCs w:val="20"/>
        </w:rPr>
        <w:t>getrennt</w:t>
      </w:r>
      <w:r w:rsidRPr="00EE0DFF">
        <w:rPr>
          <w:rFonts w:cs="Arial"/>
          <w:color w:val="595959"/>
          <w:szCs w:val="20"/>
        </w:rPr>
        <w:t xml:space="preserve"> von der Sonde – z.B. auf Augenhöhe – angebracht we</w:t>
      </w:r>
      <w:r w:rsidRPr="00EE0DFF">
        <w:rPr>
          <w:rFonts w:cs="Arial"/>
          <w:color w:val="595959"/>
          <w:szCs w:val="20"/>
        </w:rPr>
        <w:t>r</w:t>
      </w:r>
      <w:r w:rsidRPr="00EE0DFF">
        <w:rPr>
          <w:rFonts w:cs="Arial"/>
          <w:color w:val="595959"/>
          <w:szCs w:val="20"/>
        </w:rPr>
        <w:t xml:space="preserve">den kann, sind </w:t>
      </w:r>
      <w:r w:rsidRPr="009F3237">
        <w:rPr>
          <w:rFonts w:cs="Arial"/>
          <w:color w:val="595959"/>
          <w:szCs w:val="20"/>
        </w:rPr>
        <w:t>Status</w:t>
      </w:r>
      <w:r w:rsidRPr="00EE0DFF">
        <w:rPr>
          <w:rFonts w:cs="Arial"/>
          <w:color w:val="595959"/>
          <w:szCs w:val="20"/>
        </w:rPr>
        <w:t xml:space="preserve"> und </w:t>
      </w:r>
      <w:r w:rsidRPr="009F3237">
        <w:rPr>
          <w:rFonts w:cs="Arial"/>
          <w:color w:val="595959"/>
          <w:szCs w:val="20"/>
        </w:rPr>
        <w:t>Messergebnis</w:t>
      </w:r>
      <w:r w:rsidRPr="00EE0DFF">
        <w:rPr>
          <w:rFonts w:cs="Arial"/>
          <w:color w:val="595959"/>
          <w:szCs w:val="20"/>
        </w:rPr>
        <w:t xml:space="preserve"> immer gut lesbar. Auch Änderungen an Einstellung und P</w:t>
      </w:r>
      <w:r w:rsidRPr="00EE0DFF">
        <w:rPr>
          <w:rFonts w:cs="Arial"/>
          <w:color w:val="595959"/>
          <w:szCs w:val="20"/>
        </w:rPr>
        <w:t>a</w:t>
      </w:r>
      <w:r w:rsidRPr="00EE0DFF">
        <w:rPr>
          <w:rFonts w:cs="Arial"/>
          <w:color w:val="595959"/>
          <w:szCs w:val="20"/>
        </w:rPr>
        <w:t xml:space="preserve">rametern der </w:t>
      </w:r>
      <w:r w:rsidRPr="009F3237">
        <w:rPr>
          <w:rFonts w:cs="Arial"/>
          <w:color w:val="595959"/>
          <w:szCs w:val="20"/>
        </w:rPr>
        <w:t>Sensoren</w:t>
      </w:r>
      <w:r w:rsidRPr="00EE0DFF">
        <w:rPr>
          <w:rFonts w:cs="Arial"/>
          <w:color w:val="595959"/>
          <w:szCs w:val="20"/>
        </w:rPr>
        <w:t xml:space="preserve"> ist problemlos möglich.  Zudem ist die </w:t>
      </w:r>
      <w:r w:rsidRPr="009F3237">
        <w:rPr>
          <w:rFonts w:cs="Arial"/>
          <w:color w:val="595959"/>
          <w:szCs w:val="20"/>
        </w:rPr>
        <w:t>Elektronik</w:t>
      </w:r>
      <w:r w:rsidRPr="00EE0DFF">
        <w:rPr>
          <w:rFonts w:cs="Arial"/>
          <w:color w:val="595959"/>
          <w:szCs w:val="20"/>
        </w:rPr>
        <w:t xml:space="preserve"> besser vor Prozesswärme geschützt.</w:t>
      </w:r>
    </w:p>
    <w:p w:rsidR="009F3237" w:rsidRPr="00EE0DFF" w:rsidRDefault="009F3237" w:rsidP="00804E03">
      <w:pPr>
        <w:spacing w:after="0" w:line="360" w:lineRule="atLeast"/>
        <w:jc w:val="both"/>
        <w:rPr>
          <w:rFonts w:cs="Arial"/>
          <w:color w:val="595959"/>
          <w:szCs w:val="20"/>
        </w:rPr>
      </w:pPr>
      <w:r w:rsidRPr="00EE0DFF">
        <w:rPr>
          <w:rFonts w:cs="Arial"/>
          <w:color w:val="595959"/>
          <w:szCs w:val="20"/>
        </w:rPr>
        <w:t xml:space="preserve">Durch die </w:t>
      </w:r>
      <w:r w:rsidRPr="009F3237">
        <w:rPr>
          <w:rFonts w:cs="Arial"/>
          <w:color w:val="595959"/>
          <w:szCs w:val="20"/>
        </w:rPr>
        <w:t>abgesetzte Elektronik</w:t>
      </w:r>
      <w:r w:rsidRPr="00EE0DFF">
        <w:rPr>
          <w:rFonts w:cs="Arial"/>
          <w:color w:val="595959"/>
          <w:szCs w:val="20"/>
        </w:rPr>
        <w:t xml:space="preserve"> kann die Sonde außerdem einfach </w:t>
      </w:r>
      <w:r w:rsidRPr="009F3237">
        <w:rPr>
          <w:rFonts w:cs="Arial"/>
          <w:color w:val="595959"/>
          <w:szCs w:val="20"/>
        </w:rPr>
        <w:t>in einem Autoklaven</w:t>
      </w:r>
      <w:r w:rsidRPr="00EE0DFF">
        <w:rPr>
          <w:rFonts w:cs="Arial"/>
          <w:color w:val="595959"/>
          <w:szCs w:val="20"/>
        </w:rPr>
        <w:t xml:space="preserve"> sterilisiert werden – eine typische </w:t>
      </w:r>
      <w:r w:rsidRPr="009F3237">
        <w:rPr>
          <w:rFonts w:cs="Arial"/>
          <w:color w:val="595959"/>
          <w:szCs w:val="20"/>
        </w:rPr>
        <w:t>Anforderung</w:t>
      </w:r>
      <w:r w:rsidRPr="00EE0DFF">
        <w:rPr>
          <w:rFonts w:cs="Arial"/>
          <w:color w:val="595959"/>
          <w:szCs w:val="20"/>
        </w:rPr>
        <w:t xml:space="preserve"> in der pharmazeutischen Industrie. </w:t>
      </w:r>
    </w:p>
    <w:p w:rsidR="009F3237" w:rsidRPr="00EE0DFF" w:rsidRDefault="009F3237" w:rsidP="00804E03">
      <w:pPr>
        <w:spacing w:after="0" w:line="360" w:lineRule="atLeast"/>
        <w:jc w:val="both"/>
        <w:rPr>
          <w:b/>
          <w:color w:val="595959"/>
          <w:szCs w:val="20"/>
        </w:rPr>
      </w:pPr>
      <w:r w:rsidRPr="009F3237">
        <w:rPr>
          <w:b/>
          <w:color w:val="595959"/>
          <w:szCs w:val="20"/>
        </w:rPr>
        <w:lastRenderedPageBreak/>
        <w:t xml:space="preserve">LFP </w:t>
      </w:r>
      <w:proofErr w:type="spellStart"/>
      <w:r w:rsidRPr="009F3237">
        <w:rPr>
          <w:b/>
          <w:color w:val="595959"/>
          <w:szCs w:val="20"/>
        </w:rPr>
        <w:t>Inox</w:t>
      </w:r>
      <w:proofErr w:type="spellEnd"/>
      <w:r w:rsidRPr="00EE0DFF">
        <w:rPr>
          <w:b/>
          <w:color w:val="595959"/>
          <w:szCs w:val="20"/>
        </w:rPr>
        <w:t>: Die saubere Lösung</w:t>
      </w:r>
    </w:p>
    <w:p w:rsidR="009F3237" w:rsidRPr="00EE0DFF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color w:val="595959"/>
          <w:szCs w:val="20"/>
        </w:rPr>
      </w:pPr>
      <w:r>
        <w:rPr>
          <w:rFonts w:cs="Arial"/>
          <w:color w:val="595959"/>
          <w:szCs w:val="20"/>
        </w:rPr>
        <w:t>Durch die Verwendung von FDA-</w:t>
      </w:r>
      <w:r w:rsidRPr="00EE0DFF">
        <w:rPr>
          <w:rFonts w:cs="Arial"/>
          <w:color w:val="595959"/>
          <w:szCs w:val="20"/>
        </w:rPr>
        <w:t xml:space="preserve">konformen Werkstoffen, gepaart mit einem EHEDG-zertifizierten Design, gewährleistet der </w:t>
      </w: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Inox</w:t>
      </w:r>
      <w:proofErr w:type="spellEnd"/>
      <w:r w:rsidRPr="00EE0DFF">
        <w:rPr>
          <w:rFonts w:cs="Arial"/>
          <w:color w:val="595959"/>
          <w:szCs w:val="20"/>
        </w:rPr>
        <w:t xml:space="preserve"> eine optimale und uneingeschränkte Reinhaltung, selbst bei höchsten hygienischen </w:t>
      </w:r>
      <w:r w:rsidRPr="009F3237">
        <w:rPr>
          <w:rFonts w:cs="Arial"/>
          <w:color w:val="595959"/>
          <w:szCs w:val="20"/>
        </w:rPr>
        <w:t>Anforderungen</w:t>
      </w:r>
      <w:r w:rsidRPr="00EE0DFF">
        <w:rPr>
          <w:rFonts w:cs="Arial"/>
          <w:color w:val="595959"/>
          <w:szCs w:val="20"/>
        </w:rPr>
        <w:t>. Sein modulares Anschlusssystem ermöglicht einen einfachen und flexiblen Einbau in jeder Applikation. Der Einsatz unter CIP- und SIP-Bedingungen ist durch die hohe Temperatur- und Druckbeständigkeit uneingeschränkt möglich. Die Kommunikationsfähigkeit via IO-Link zu übergeordneten Steuerungseinheiten rundet das Profil ab.</w:t>
      </w:r>
    </w:p>
    <w:p w:rsidR="009F3237" w:rsidRPr="00EE0DFF" w:rsidRDefault="009F3237" w:rsidP="00804E03">
      <w:pPr>
        <w:pStyle w:val="Textkrper"/>
        <w:jc w:val="both"/>
        <w:rPr>
          <w:rFonts w:eastAsia="Calibri" w:cs="Arial"/>
          <w:b w:val="0"/>
          <w:color w:val="595959"/>
          <w:sz w:val="20"/>
          <w:lang w:eastAsia="en-US"/>
        </w:rPr>
      </w:pPr>
      <w:r>
        <w:rPr>
          <w:rFonts w:eastAsia="Calibri" w:cs="Arial"/>
          <w:b w:val="0"/>
          <w:color w:val="595959"/>
          <w:sz w:val="20"/>
          <w:lang w:eastAsia="en-US"/>
        </w:rPr>
        <w:t xml:space="preserve">Das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 xml:space="preserve">LFP </w:t>
      </w:r>
      <w:proofErr w:type="spellStart"/>
      <w:r w:rsidRPr="009F3237">
        <w:rPr>
          <w:rFonts w:eastAsia="Calibri" w:cs="Arial"/>
          <w:b w:val="0"/>
          <w:color w:val="595959"/>
          <w:sz w:val="20"/>
          <w:lang w:eastAsia="en-US"/>
        </w:rPr>
        <w:t>Inox</w:t>
      </w:r>
      <w:proofErr w:type="spellEnd"/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vereint die kontinuierliche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>Füllstandmessung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und die Erfassung von Grenzwerten –</w:t>
      </w:r>
      <w:r w:rsidRPr="00C65BFF">
        <w:rPr>
          <w:b w:val="0"/>
          <w:color w:val="1F497D"/>
          <w:sz w:val="20"/>
        </w:rPr>
        <w:t xml:space="preserve"> 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was im Gegensatz zu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>getrennten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Systemen eine wesentliche Kostenersparnis bedeutet. Display, u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>m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schaltbarer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>Analogausgang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4 – 20 mA bzw. 0 – 10 V, IO-Link für individuelle Parametrier-, Diagnose- und Visualisierungsoptionen sowie zwei Transistorschaltausgänge sind in einem kompakten Senso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>r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gehäuse untergebracht, das die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>Anforderungen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der beiden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>Schutzarten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IP67 und IP69K erfüllt. Der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 xml:space="preserve">LFP </w:t>
      </w:r>
      <w:proofErr w:type="spellStart"/>
      <w:r w:rsidRPr="009F3237">
        <w:rPr>
          <w:rFonts w:eastAsia="Calibri" w:cs="Arial"/>
          <w:b w:val="0"/>
          <w:color w:val="595959"/>
          <w:sz w:val="20"/>
          <w:lang w:eastAsia="en-US"/>
        </w:rPr>
        <w:t>Inox</w:t>
      </w:r>
      <w:proofErr w:type="spellEnd"/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ist durch die </w:t>
      </w:r>
      <w:proofErr w:type="spellStart"/>
      <w:r w:rsidRPr="00EE0DFF">
        <w:rPr>
          <w:rFonts w:eastAsia="Calibri" w:cs="Arial"/>
          <w:b w:val="0"/>
          <w:color w:val="595959"/>
          <w:sz w:val="20"/>
          <w:lang w:eastAsia="en-US"/>
        </w:rPr>
        <w:t>kürzbaren</w:t>
      </w:r>
      <w:proofErr w:type="spellEnd"/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Sonden und die wechselbaren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>Prozessanschlüsse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sehr vielseitig einsetzbar. Die einfache </w:t>
      </w:r>
      <w:r w:rsidRPr="009F3237">
        <w:rPr>
          <w:rFonts w:eastAsia="Calibri" w:cs="Arial"/>
          <w:b w:val="0"/>
          <w:color w:val="595959"/>
          <w:sz w:val="20"/>
          <w:lang w:eastAsia="en-US"/>
        </w:rPr>
        <w:t xml:space="preserve">Inbetriebnahme, die Wartungsfreiheit und die weitgehende Unabhängigkeit von den Eigenschaften des zu messenden Mediums, wodurch der Sensor nicht </w:t>
      </w:r>
      <w:proofErr w:type="spellStart"/>
      <w:r w:rsidRPr="009F3237">
        <w:rPr>
          <w:rFonts w:eastAsia="Calibri" w:cs="Arial"/>
          <w:b w:val="0"/>
          <w:color w:val="595959"/>
          <w:sz w:val="20"/>
          <w:lang w:eastAsia="en-US"/>
        </w:rPr>
        <w:t>rekalibriert</w:t>
      </w:r>
      <w:proofErr w:type="spellEnd"/>
      <w:r w:rsidRPr="009F3237">
        <w:rPr>
          <w:rFonts w:eastAsia="Calibri" w:cs="Arial"/>
          <w:b w:val="0"/>
          <w:color w:val="595959"/>
          <w:sz w:val="20"/>
          <w:lang w:eastAsia="en-US"/>
        </w:rPr>
        <w:t xml:space="preserve"> werden muss, bedeuten</w:t>
      </w:r>
      <w:r w:rsidRPr="00EE0DFF">
        <w:rPr>
          <w:rFonts w:eastAsia="Calibri" w:cs="Arial"/>
          <w:b w:val="0"/>
          <w:color w:val="595959"/>
          <w:sz w:val="20"/>
          <w:lang w:eastAsia="en-US"/>
        </w:rPr>
        <w:t xml:space="preserve"> eine hohe Zeit- und Kostenersparnis.</w:t>
      </w:r>
    </w:p>
    <w:p w:rsidR="009F3237" w:rsidRPr="00EE0DFF" w:rsidRDefault="009F3237" w:rsidP="00804E03">
      <w:pPr>
        <w:pStyle w:val="Textkrper"/>
        <w:jc w:val="both"/>
        <w:rPr>
          <w:rFonts w:eastAsia="Calibri" w:cs="Arial"/>
          <w:b w:val="0"/>
          <w:color w:val="595959"/>
          <w:sz w:val="20"/>
          <w:lang w:eastAsia="en-US"/>
        </w:rPr>
      </w:pPr>
    </w:p>
    <w:p w:rsidR="009F3237" w:rsidRPr="00EE0DFF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color w:val="595959"/>
          <w:szCs w:val="20"/>
        </w:rPr>
      </w:pPr>
    </w:p>
    <w:p w:rsidR="009F3237" w:rsidRPr="00EE0DFF" w:rsidRDefault="009F3237" w:rsidP="00804E03">
      <w:pPr>
        <w:spacing w:after="0" w:line="360" w:lineRule="atLeast"/>
        <w:jc w:val="both"/>
        <w:rPr>
          <w:b/>
          <w:color w:val="595959"/>
          <w:szCs w:val="20"/>
        </w:rPr>
      </w:pPr>
      <w:r w:rsidRPr="009F3237">
        <w:rPr>
          <w:b/>
          <w:color w:val="595959"/>
          <w:szCs w:val="20"/>
        </w:rPr>
        <w:t xml:space="preserve">LFP </w:t>
      </w:r>
      <w:proofErr w:type="spellStart"/>
      <w:r w:rsidRPr="009F3237">
        <w:rPr>
          <w:b/>
          <w:color w:val="595959"/>
          <w:szCs w:val="20"/>
        </w:rPr>
        <w:t>Cubic</w:t>
      </w:r>
      <w:proofErr w:type="spellEnd"/>
      <w:r w:rsidRPr="00EE0DFF">
        <w:rPr>
          <w:b/>
          <w:color w:val="595959"/>
          <w:szCs w:val="20"/>
        </w:rPr>
        <w:t xml:space="preserve"> </w:t>
      </w:r>
      <w:r>
        <w:rPr>
          <w:b/>
          <w:color w:val="595959"/>
          <w:szCs w:val="20"/>
        </w:rPr>
        <w:t>flexibel</w:t>
      </w:r>
      <w:r w:rsidRPr="00EE0DFF">
        <w:rPr>
          <w:b/>
          <w:color w:val="595959"/>
          <w:szCs w:val="20"/>
        </w:rPr>
        <w:t xml:space="preserve"> bis zur </w:t>
      </w:r>
      <w:proofErr w:type="spellStart"/>
      <w:r w:rsidRPr="00EE0DFF">
        <w:rPr>
          <w:b/>
          <w:color w:val="595959"/>
          <w:szCs w:val="20"/>
        </w:rPr>
        <w:t>Sondenspitze</w:t>
      </w:r>
      <w:proofErr w:type="spellEnd"/>
    </w:p>
    <w:p w:rsidR="009F3237" w:rsidRPr="00EE0DFF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color w:val="595959"/>
          <w:szCs w:val="20"/>
        </w:rPr>
      </w:pPr>
      <w:r w:rsidRPr="00EE0DFF">
        <w:rPr>
          <w:rFonts w:cs="Arial"/>
          <w:color w:val="595959"/>
          <w:szCs w:val="20"/>
        </w:rPr>
        <w:t xml:space="preserve">Wie der </w:t>
      </w: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Inox</w:t>
      </w:r>
      <w:proofErr w:type="spellEnd"/>
      <w:r w:rsidRPr="00EE0DFF">
        <w:rPr>
          <w:rFonts w:cs="Arial"/>
          <w:color w:val="595959"/>
          <w:szCs w:val="20"/>
        </w:rPr>
        <w:t xml:space="preserve"> liefert auch der </w:t>
      </w: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Cubic</w:t>
      </w:r>
      <w:proofErr w:type="spellEnd"/>
      <w:r w:rsidRPr="00EE0DFF">
        <w:rPr>
          <w:rFonts w:cs="Arial"/>
          <w:color w:val="595959"/>
          <w:szCs w:val="20"/>
        </w:rPr>
        <w:t xml:space="preserve"> je nach </w:t>
      </w:r>
      <w:r w:rsidRPr="009F3237">
        <w:rPr>
          <w:rFonts w:cs="Arial"/>
          <w:color w:val="595959"/>
          <w:szCs w:val="20"/>
        </w:rPr>
        <w:t>Anforderung</w:t>
      </w:r>
      <w:r w:rsidRPr="00EE0DFF">
        <w:rPr>
          <w:rFonts w:cs="Arial"/>
          <w:color w:val="595959"/>
          <w:szCs w:val="20"/>
        </w:rPr>
        <w:t xml:space="preserve"> eine kontinuierliche Messung oder die </w:t>
      </w:r>
      <w:r w:rsidRPr="009F3237">
        <w:rPr>
          <w:rFonts w:cs="Arial"/>
          <w:color w:val="595959"/>
          <w:szCs w:val="20"/>
        </w:rPr>
        <w:t>Grenzstandmessung</w:t>
      </w:r>
      <w:r w:rsidRPr="00EE0DFF">
        <w:rPr>
          <w:rFonts w:cs="Arial"/>
          <w:color w:val="595959"/>
          <w:szCs w:val="20"/>
        </w:rPr>
        <w:t xml:space="preserve"> in einem System – auch dies spart deutlich Kosten. Der </w:t>
      </w: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Cubic</w:t>
      </w:r>
      <w:proofErr w:type="spellEnd"/>
      <w:r w:rsidRPr="00EE0DFF">
        <w:rPr>
          <w:rFonts w:cs="Arial"/>
          <w:color w:val="595959"/>
          <w:szCs w:val="20"/>
        </w:rPr>
        <w:t xml:space="preserve"> ist in nahezu allen Flüssigkeiten einsetzbar. Durch sein modulares </w:t>
      </w:r>
      <w:proofErr w:type="spellStart"/>
      <w:r w:rsidRPr="00EE0DFF">
        <w:rPr>
          <w:rFonts w:cs="Arial"/>
          <w:color w:val="595959"/>
          <w:szCs w:val="20"/>
        </w:rPr>
        <w:t>Sondenkonzept</w:t>
      </w:r>
      <w:proofErr w:type="spellEnd"/>
      <w:r w:rsidRPr="00EE0DFF">
        <w:rPr>
          <w:rFonts w:cs="Arial"/>
          <w:color w:val="595959"/>
          <w:szCs w:val="20"/>
        </w:rPr>
        <w:t xml:space="preserve"> ist es möglich, den </w:t>
      </w:r>
      <w:r w:rsidRPr="009F3237">
        <w:rPr>
          <w:rFonts w:cs="Arial"/>
          <w:color w:val="595959"/>
          <w:szCs w:val="20"/>
        </w:rPr>
        <w:t>Se</w:t>
      </w:r>
      <w:r w:rsidRPr="009F3237">
        <w:rPr>
          <w:rFonts w:cs="Arial"/>
          <w:color w:val="595959"/>
          <w:szCs w:val="20"/>
        </w:rPr>
        <w:t>n</w:t>
      </w:r>
      <w:r w:rsidRPr="009F3237">
        <w:rPr>
          <w:rFonts w:cs="Arial"/>
          <w:color w:val="595959"/>
          <w:szCs w:val="20"/>
        </w:rPr>
        <w:t>sor</w:t>
      </w:r>
      <w:r w:rsidRPr="00EE0DFF">
        <w:rPr>
          <w:rFonts w:cs="Arial"/>
          <w:color w:val="595959"/>
          <w:szCs w:val="20"/>
        </w:rPr>
        <w:t xml:space="preserve"> schnell in jede Applikation zu integrieren.</w:t>
      </w:r>
      <w:r>
        <w:rPr>
          <w:rFonts w:ascii="SICKFranklin-Regular" w:hAnsi="SICKFranklin-Regular" w:cs="SICKFranklin-Regular"/>
        </w:rPr>
        <w:t xml:space="preserve"> </w:t>
      </w:r>
      <w:r w:rsidRPr="00EE0DFF">
        <w:rPr>
          <w:rFonts w:cs="Arial"/>
          <w:color w:val="595959"/>
          <w:szCs w:val="20"/>
        </w:rPr>
        <w:t xml:space="preserve">Der </w:t>
      </w:r>
      <w:r w:rsidRPr="009F3237">
        <w:rPr>
          <w:rFonts w:cs="Arial"/>
          <w:color w:val="595959"/>
          <w:szCs w:val="20"/>
        </w:rPr>
        <w:t>Sensor</w:t>
      </w:r>
      <w:r w:rsidRPr="00EE0DFF">
        <w:rPr>
          <w:rFonts w:cs="Arial"/>
          <w:color w:val="595959"/>
          <w:szCs w:val="20"/>
        </w:rPr>
        <w:t xml:space="preserve"> lässt sich auch bei Belag bildenden und schäumenden Flüssigkeiten einsetzen. Die intuitive Einstellung mit vier </w:t>
      </w:r>
      <w:r w:rsidRPr="009F3237">
        <w:rPr>
          <w:rFonts w:cs="Arial"/>
          <w:color w:val="595959"/>
          <w:szCs w:val="20"/>
        </w:rPr>
        <w:t>Tasten</w:t>
      </w:r>
      <w:r w:rsidRPr="00EE0DFF">
        <w:rPr>
          <w:rFonts w:cs="Arial"/>
          <w:color w:val="595959"/>
          <w:szCs w:val="20"/>
        </w:rPr>
        <w:t xml:space="preserve"> und Display macht eine einfache und schnelle Anpassung an die </w:t>
      </w:r>
      <w:r w:rsidRPr="009F3237">
        <w:rPr>
          <w:rFonts w:cs="Arial"/>
          <w:color w:val="595959"/>
          <w:szCs w:val="20"/>
        </w:rPr>
        <w:t>Messaufgabe</w:t>
      </w:r>
      <w:r w:rsidRPr="00EE0DFF">
        <w:rPr>
          <w:rFonts w:cs="Arial"/>
          <w:color w:val="595959"/>
          <w:szCs w:val="20"/>
        </w:rPr>
        <w:t xml:space="preserve"> möglich. </w:t>
      </w:r>
      <w:r w:rsidRPr="009F3237">
        <w:rPr>
          <w:rFonts w:cs="Arial"/>
          <w:color w:val="595959"/>
          <w:szCs w:val="20"/>
        </w:rPr>
        <w:t>Abgesetzte Elektronik</w:t>
      </w:r>
      <w:r w:rsidRPr="00EE0DFF">
        <w:rPr>
          <w:rFonts w:cs="Arial"/>
          <w:color w:val="595959"/>
          <w:szCs w:val="20"/>
        </w:rPr>
        <w:t xml:space="preserve">, IO-Link-Schnittstelle und Ausführung mit einem </w:t>
      </w:r>
      <w:r w:rsidRPr="009F3237">
        <w:rPr>
          <w:rFonts w:cs="Arial"/>
          <w:color w:val="595959"/>
          <w:szCs w:val="20"/>
        </w:rPr>
        <w:t>Prozessanschluss</w:t>
      </w:r>
      <w:r w:rsidRPr="00EE0DFF">
        <w:rPr>
          <w:rFonts w:cs="Arial"/>
          <w:color w:val="595959"/>
          <w:szCs w:val="20"/>
        </w:rPr>
        <w:t xml:space="preserve"> aus Titan sind zusätzliche </w:t>
      </w:r>
      <w:r w:rsidRPr="009F3237">
        <w:rPr>
          <w:rFonts w:cs="Arial"/>
          <w:color w:val="595959"/>
          <w:szCs w:val="20"/>
        </w:rPr>
        <w:t>Merkmale</w:t>
      </w:r>
      <w:r w:rsidRPr="00EE0DFF">
        <w:rPr>
          <w:rFonts w:cs="Arial"/>
          <w:color w:val="595959"/>
          <w:szCs w:val="20"/>
        </w:rPr>
        <w:t xml:space="preserve"> für einen vielseitigen Einsatz.</w:t>
      </w:r>
    </w:p>
    <w:p w:rsidR="009F3237" w:rsidRPr="00EE0DFF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color w:val="595959"/>
          <w:szCs w:val="20"/>
        </w:rPr>
      </w:pPr>
    </w:p>
    <w:p w:rsidR="009F3237" w:rsidRPr="00804E03" w:rsidRDefault="009F3237" w:rsidP="00804E03">
      <w:pPr>
        <w:autoSpaceDE w:val="0"/>
        <w:autoSpaceDN w:val="0"/>
        <w:adjustRightInd w:val="0"/>
        <w:spacing w:after="0" w:line="360" w:lineRule="atLeast"/>
        <w:jc w:val="both"/>
        <w:rPr>
          <w:rFonts w:cs="Arial"/>
          <w:color w:val="595959"/>
          <w:szCs w:val="20"/>
        </w:rPr>
      </w:pPr>
      <w:r w:rsidRPr="00EE0DFF">
        <w:rPr>
          <w:rFonts w:cs="Arial"/>
          <w:color w:val="595959"/>
          <w:szCs w:val="20"/>
        </w:rPr>
        <w:t xml:space="preserve">Kontinuierliche </w:t>
      </w:r>
      <w:r w:rsidRPr="009F3237">
        <w:rPr>
          <w:rFonts w:cs="Arial"/>
          <w:color w:val="595959"/>
          <w:szCs w:val="20"/>
        </w:rPr>
        <w:t>Füllstandmessung</w:t>
      </w:r>
      <w:r w:rsidRPr="00EE0DFF">
        <w:rPr>
          <w:rFonts w:cs="Arial"/>
          <w:color w:val="595959"/>
          <w:szCs w:val="20"/>
        </w:rPr>
        <w:t xml:space="preserve"> und </w:t>
      </w:r>
      <w:r w:rsidRPr="009F3237">
        <w:rPr>
          <w:rFonts w:cs="Arial"/>
          <w:color w:val="595959"/>
          <w:szCs w:val="20"/>
        </w:rPr>
        <w:t>Grenzstandmessung</w:t>
      </w:r>
      <w:r w:rsidRPr="00EE0DFF">
        <w:rPr>
          <w:rFonts w:cs="Arial"/>
          <w:color w:val="595959"/>
          <w:szCs w:val="20"/>
        </w:rPr>
        <w:t xml:space="preserve"> mit einem </w:t>
      </w:r>
      <w:r w:rsidRPr="009F3237">
        <w:rPr>
          <w:rFonts w:cs="Arial"/>
          <w:color w:val="595959"/>
          <w:szCs w:val="20"/>
        </w:rPr>
        <w:t>Gerät</w:t>
      </w:r>
      <w:r w:rsidRPr="00EE0DFF">
        <w:rPr>
          <w:rFonts w:cs="Arial"/>
          <w:color w:val="595959"/>
          <w:szCs w:val="20"/>
        </w:rPr>
        <w:t xml:space="preserve">: Der </w:t>
      </w:r>
      <w:r w:rsidRPr="009F3237">
        <w:rPr>
          <w:rFonts w:cs="Arial"/>
          <w:color w:val="595959"/>
          <w:szCs w:val="20"/>
        </w:rPr>
        <w:t xml:space="preserve">LFP </w:t>
      </w:r>
      <w:proofErr w:type="spellStart"/>
      <w:r w:rsidRPr="009F3237">
        <w:rPr>
          <w:rFonts w:cs="Arial"/>
          <w:color w:val="595959"/>
          <w:szCs w:val="20"/>
        </w:rPr>
        <w:t>Cubic</w:t>
      </w:r>
      <w:proofErr w:type="spellEnd"/>
      <w:r w:rsidRPr="00EE0DFF">
        <w:rPr>
          <w:rFonts w:cs="Arial"/>
          <w:color w:val="595959"/>
          <w:szCs w:val="20"/>
        </w:rPr>
        <w:t xml:space="preserve"> arbeitet nahezu verschleiß- und </w:t>
      </w:r>
      <w:r w:rsidRPr="009F3237">
        <w:rPr>
          <w:rFonts w:cs="Arial"/>
          <w:color w:val="595959"/>
          <w:szCs w:val="20"/>
        </w:rPr>
        <w:t>wartungsfrei</w:t>
      </w:r>
      <w:r w:rsidRPr="00EE0DFF">
        <w:rPr>
          <w:rFonts w:cs="Arial"/>
          <w:color w:val="595959"/>
          <w:szCs w:val="20"/>
        </w:rPr>
        <w:t>. Ideal für den Einsatz in Metallbehältern und Tanks in der Wa</w:t>
      </w:r>
      <w:r w:rsidRPr="00EE0DFF">
        <w:rPr>
          <w:rFonts w:cs="Arial"/>
          <w:color w:val="595959"/>
          <w:szCs w:val="20"/>
        </w:rPr>
        <w:t>s</w:t>
      </w:r>
      <w:r w:rsidRPr="00EE0DFF">
        <w:rPr>
          <w:rFonts w:cs="Arial"/>
          <w:color w:val="595959"/>
          <w:szCs w:val="20"/>
        </w:rPr>
        <w:t xml:space="preserve">serindustrie, im Maschinenbau, an </w:t>
      </w:r>
      <w:r w:rsidRPr="009F3237">
        <w:rPr>
          <w:rFonts w:cs="Arial"/>
          <w:color w:val="595959"/>
          <w:szCs w:val="20"/>
        </w:rPr>
        <w:t>Werkzeugmaschinen</w:t>
      </w:r>
      <w:r w:rsidRPr="00EE0DFF">
        <w:rPr>
          <w:rFonts w:cs="Arial"/>
          <w:color w:val="595959"/>
          <w:szCs w:val="20"/>
        </w:rPr>
        <w:t>, im Anlagenbau und in der Gebäudetechnik.</w:t>
      </w:r>
    </w:p>
    <w:sectPr w:rsidR="009F3237" w:rsidRPr="00804E0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A9" w:rsidRDefault="006174A9" w:rsidP="00565E19">
      <w:pPr>
        <w:spacing w:after="0" w:line="240" w:lineRule="auto"/>
      </w:pPr>
      <w:r>
        <w:separator/>
      </w:r>
    </w:p>
  </w:endnote>
  <w:endnote w:type="continuationSeparator" w:id="0">
    <w:p w:rsidR="006174A9" w:rsidRDefault="006174A9" w:rsidP="005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CKFranklin-Regular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A9" w:rsidRDefault="006174A9" w:rsidP="00565E19">
      <w:pPr>
        <w:spacing w:after="0" w:line="240" w:lineRule="auto"/>
      </w:pPr>
      <w:r>
        <w:separator/>
      </w:r>
    </w:p>
  </w:footnote>
  <w:footnote w:type="continuationSeparator" w:id="0">
    <w:p w:rsidR="006174A9" w:rsidRDefault="006174A9" w:rsidP="005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19" w:rsidRDefault="00565E19" w:rsidP="00565E19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rStyle w:val="TitelZchn"/>
        <w:rFonts w:eastAsia="Calibri"/>
      </w:rPr>
      <w:t>PRESSEINFORMATION</w:t>
    </w:r>
  </w:p>
  <w:p w:rsidR="00565E19" w:rsidRPr="00E04E05" w:rsidRDefault="00565E19" w:rsidP="00565E19">
    <w:pPr>
      <w:spacing w:line="384" w:lineRule="exact"/>
      <w:rPr>
        <w:rFonts w:cs="Arial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C75B38C" wp14:editId="4A760D0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Grafik 4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E19" w:rsidRDefault="00565E19" w:rsidP="00565E19">
    <w:pPr>
      <w:pStyle w:val="Kopfzeile"/>
    </w:pPr>
  </w:p>
  <w:p w:rsidR="00565E19" w:rsidRDefault="00565E19" w:rsidP="00565E19">
    <w:pPr>
      <w:pStyle w:val="Kopfzeile"/>
    </w:pPr>
  </w:p>
  <w:p w:rsidR="00565E19" w:rsidRDefault="00565E19" w:rsidP="00565E19">
    <w:pPr>
      <w:pStyle w:val="Kopfzeile"/>
    </w:pPr>
  </w:p>
  <w:p w:rsidR="00565E19" w:rsidRDefault="00565E19" w:rsidP="00565E19">
    <w:pPr>
      <w:pStyle w:val="Kopfzeile"/>
    </w:pPr>
  </w:p>
  <w:p w:rsidR="00565E19" w:rsidRPr="003E3158" w:rsidRDefault="00565E19" w:rsidP="00565E19">
    <w:pPr>
      <w:pStyle w:val="Kopfzeile"/>
    </w:pPr>
  </w:p>
  <w:p w:rsidR="00565E19" w:rsidRPr="001E4B30" w:rsidRDefault="00565E19" w:rsidP="00565E19">
    <w:pPr>
      <w:pStyle w:val="Kopfzeile"/>
    </w:pPr>
  </w:p>
  <w:p w:rsidR="00565E19" w:rsidRDefault="00565E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F65"/>
    <w:multiLevelType w:val="hybridMultilevel"/>
    <w:tmpl w:val="E7C05C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4"/>
    <w:rsid w:val="00047759"/>
    <w:rsid w:val="000A3EAD"/>
    <w:rsid w:val="000A55EB"/>
    <w:rsid w:val="0010450A"/>
    <w:rsid w:val="00137A86"/>
    <w:rsid w:val="0017080F"/>
    <w:rsid w:val="001A2810"/>
    <w:rsid w:val="001A7DEA"/>
    <w:rsid w:val="001C57C4"/>
    <w:rsid w:val="001D2465"/>
    <w:rsid w:val="001E2DF6"/>
    <w:rsid w:val="00225F37"/>
    <w:rsid w:val="002448AF"/>
    <w:rsid w:val="00256826"/>
    <w:rsid w:val="0029017F"/>
    <w:rsid w:val="002A60BA"/>
    <w:rsid w:val="002C43A0"/>
    <w:rsid w:val="002D34A4"/>
    <w:rsid w:val="002F26D1"/>
    <w:rsid w:val="00312570"/>
    <w:rsid w:val="0032410B"/>
    <w:rsid w:val="003B51D4"/>
    <w:rsid w:val="0041490C"/>
    <w:rsid w:val="004543BA"/>
    <w:rsid w:val="0046197B"/>
    <w:rsid w:val="00467FB9"/>
    <w:rsid w:val="0047737B"/>
    <w:rsid w:val="004963DE"/>
    <w:rsid w:val="004D01DB"/>
    <w:rsid w:val="004D260A"/>
    <w:rsid w:val="004D4844"/>
    <w:rsid w:val="004F4CFD"/>
    <w:rsid w:val="0053029E"/>
    <w:rsid w:val="00547177"/>
    <w:rsid w:val="00556286"/>
    <w:rsid w:val="00565E19"/>
    <w:rsid w:val="005815AC"/>
    <w:rsid w:val="00585FA3"/>
    <w:rsid w:val="005B3FD1"/>
    <w:rsid w:val="006025CF"/>
    <w:rsid w:val="006174A9"/>
    <w:rsid w:val="00631F0B"/>
    <w:rsid w:val="00656EE0"/>
    <w:rsid w:val="00672887"/>
    <w:rsid w:val="006920BE"/>
    <w:rsid w:val="006A034E"/>
    <w:rsid w:val="00715570"/>
    <w:rsid w:val="007611B4"/>
    <w:rsid w:val="00765A1D"/>
    <w:rsid w:val="00784C06"/>
    <w:rsid w:val="00785013"/>
    <w:rsid w:val="00801BD7"/>
    <w:rsid w:val="00811667"/>
    <w:rsid w:val="008129A6"/>
    <w:rsid w:val="00895382"/>
    <w:rsid w:val="008E2DBE"/>
    <w:rsid w:val="009163F2"/>
    <w:rsid w:val="009E6588"/>
    <w:rsid w:val="009F3237"/>
    <w:rsid w:val="00A21240"/>
    <w:rsid w:val="00A2727E"/>
    <w:rsid w:val="00A97195"/>
    <w:rsid w:val="00AC0A13"/>
    <w:rsid w:val="00B80A4D"/>
    <w:rsid w:val="00BC1B60"/>
    <w:rsid w:val="00BF40DA"/>
    <w:rsid w:val="00C10D67"/>
    <w:rsid w:val="00C65BFF"/>
    <w:rsid w:val="00C7568C"/>
    <w:rsid w:val="00CB4516"/>
    <w:rsid w:val="00CF7CA2"/>
    <w:rsid w:val="00D15959"/>
    <w:rsid w:val="00D84D3E"/>
    <w:rsid w:val="00DE0791"/>
    <w:rsid w:val="00DE34AB"/>
    <w:rsid w:val="00E310B5"/>
    <w:rsid w:val="00E82D88"/>
    <w:rsid w:val="00ED48CD"/>
    <w:rsid w:val="00EE7644"/>
    <w:rsid w:val="00F076C3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1D4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C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20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0B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20B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0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0B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756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E1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E19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65E19"/>
    <w:pPr>
      <w:spacing w:after="1200" w:line="384" w:lineRule="exact"/>
      <w:outlineLvl w:val="0"/>
    </w:pPr>
    <w:rPr>
      <w:rFonts w:eastAsia="Times New Roman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65E19"/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paragraph" w:styleId="Textkrper">
    <w:name w:val="Body Text"/>
    <w:basedOn w:val="Standard"/>
    <w:link w:val="TextkrperZchn"/>
    <w:rsid w:val="00C65BFF"/>
    <w:pPr>
      <w:spacing w:after="0" w:line="360" w:lineRule="atLeast"/>
      <w:jc w:val="center"/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65BFF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1D4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C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20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0B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20B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0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0B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756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E1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E19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65E19"/>
    <w:pPr>
      <w:spacing w:after="1200" w:line="384" w:lineRule="exact"/>
      <w:outlineLvl w:val="0"/>
    </w:pPr>
    <w:rPr>
      <w:rFonts w:eastAsia="Times New Roman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65E19"/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paragraph" w:styleId="Textkrper">
    <w:name w:val="Body Text"/>
    <w:basedOn w:val="Standard"/>
    <w:link w:val="TextkrperZchn"/>
    <w:rsid w:val="00C65BFF"/>
    <w:pPr>
      <w:spacing w:after="0" w:line="360" w:lineRule="atLeast"/>
      <w:jc w:val="center"/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65BFF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348c5461c0399670543e3d7ab14a4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cb8cdce308c54729830856474b4e1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11CF18-7E94-4B53-B060-374EB8022C35}"/>
</file>

<file path=customXml/itemProps2.xml><?xml version="1.0" encoding="utf-8"?>
<ds:datastoreItem xmlns:ds="http://schemas.openxmlformats.org/officeDocument/2006/customXml" ds:itemID="{5B7F45B4-857A-4B7A-B039-66655EF2D7A8}"/>
</file>

<file path=customXml/itemProps3.xml><?xml version="1.0" encoding="utf-8"?>
<ds:datastoreItem xmlns:ds="http://schemas.openxmlformats.org/officeDocument/2006/customXml" ds:itemID="{3008ADE8-3004-4525-8779-80EF035A2C44}"/>
</file>

<file path=customXml/itemProps4.xml><?xml version="1.0" encoding="utf-8"?>
<ds:datastoreItem xmlns:ds="http://schemas.openxmlformats.org/officeDocument/2006/customXml" ds:itemID="{BADC3CD9-3C6A-4779-AB54-0F843448D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Presseinformation_LFP_Cubic_INOX_de.docx</dc:title>
  <dc:creator>Solvejg Hannemann</dc:creator>
  <cp:lastModifiedBy>Antje Stein</cp:lastModifiedBy>
  <cp:revision>5</cp:revision>
  <cp:lastPrinted>2015-03-12T10:09:00Z</cp:lastPrinted>
  <dcterms:created xsi:type="dcterms:W3CDTF">2015-03-12T10:14:00Z</dcterms:created>
  <dcterms:modified xsi:type="dcterms:W3CDTF">2015-04-10T12:08:00Z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