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04" w:rsidRDefault="00FB4604" w:rsidP="00D0715C">
      <w:pPr>
        <w:pStyle w:val="berschrift1"/>
        <w:suppressAutoHyphens/>
      </w:pPr>
      <w:bookmarkStart w:id="0" w:name="_GoBack"/>
      <w:bookmarkEnd w:id="0"/>
      <w:r>
        <w:t>Sicherheit im explosiven Umfeld</w:t>
      </w:r>
    </w:p>
    <w:p w:rsidR="00FB4604" w:rsidRDefault="00FB4604" w:rsidP="00D0715C">
      <w:pPr>
        <w:pStyle w:val="Untertitel"/>
        <w:suppressAutoHyphens/>
      </w:pPr>
      <w:r>
        <w:t>deTec4 Core Ex Sicherheits-Lichtvorhang von SICK</w:t>
      </w:r>
    </w:p>
    <w:p w:rsidR="00FB4604" w:rsidRDefault="00FB4604" w:rsidP="00D0715C">
      <w:pPr>
        <w:suppressAutoHyphens/>
      </w:pPr>
    </w:p>
    <w:p w:rsidR="00FB4604" w:rsidRDefault="00FB4604" w:rsidP="00D0715C">
      <w:pPr>
        <w:suppressAutoHyphens/>
      </w:pPr>
    </w:p>
    <w:p w:rsidR="00FB4604" w:rsidRDefault="00FB4604" w:rsidP="00D0715C">
      <w:pPr>
        <w:suppressAutoHyphens/>
      </w:pPr>
    </w:p>
    <w:p w:rsidR="00FB4604" w:rsidRPr="00AE39C0" w:rsidRDefault="00FB4604" w:rsidP="00D0715C">
      <w:pPr>
        <w:pStyle w:val="Lead"/>
        <w:suppressAutoHyphens/>
      </w:pPr>
      <w:r w:rsidRPr="00315A5A">
        <w:t xml:space="preserve">Waldkirch, </w:t>
      </w:r>
      <w:r>
        <w:t xml:space="preserve">Juni </w:t>
      </w:r>
      <w:r w:rsidRPr="00315A5A">
        <w:t>201</w:t>
      </w:r>
      <w:r>
        <w:t xml:space="preserve">5 – Mit dem deTec4 Core Ex setzt SICK bei Sicherheits-Lichtvorhängen im explosiven Umfeld einen neuen Standard. In Kombination mit dem Explosionsschutzgehäuse können sie in Branchen eingesetzt werden, </w:t>
      </w:r>
      <w:r w:rsidR="00BB37CA">
        <w:t xml:space="preserve">die </w:t>
      </w:r>
      <w:r>
        <w:t>Ma</w:t>
      </w:r>
      <w:r w:rsidR="00BB37CA">
        <w:t xml:space="preserve">ßnahmen zum Explosionsschutz umsetzen und </w:t>
      </w:r>
      <w:r>
        <w:t xml:space="preserve">entsprechende Normen einhalten müssen. Das herausragende Merkmal: optimaler Schutz für Mensch und Maschine, auch in explosionsgefährdeten Bereichen. </w:t>
      </w:r>
    </w:p>
    <w:p w:rsidR="00FB4604" w:rsidRDefault="00FB4604" w:rsidP="00D0715C">
      <w:pPr>
        <w:suppressAutoHyphens/>
        <w:rPr>
          <w:rFonts w:cs="Arial"/>
          <w:szCs w:val="20"/>
        </w:rPr>
      </w:pPr>
      <w:r>
        <w:rPr>
          <w:rFonts w:cs="Arial"/>
          <w:szCs w:val="20"/>
        </w:rPr>
        <w:t xml:space="preserve">Explosionsgefährdete Bereiche </w:t>
      </w:r>
      <w:r w:rsidRPr="00FB4604">
        <w:rPr>
          <w:rFonts w:cs="Arial"/>
          <w:szCs w:val="20"/>
        </w:rPr>
        <w:t>sind</w:t>
      </w:r>
      <w:r>
        <w:rPr>
          <w:rFonts w:cs="Arial"/>
          <w:szCs w:val="20"/>
        </w:rPr>
        <w:t xml:space="preserve"> durch besonders strenge Sicherheitsvorschriften und -standards </w:t>
      </w:r>
      <w:r w:rsidRPr="00FB4604">
        <w:rPr>
          <w:rFonts w:cs="Arial"/>
          <w:szCs w:val="20"/>
        </w:rPr>
        <w:t>gekennzeichnet</w:t>
      </w:r>
      <w:r>
        <w:rPr>
          <w:rFonts w:cs="Arial"/>
          <w:szCs w:val="20"/>
        </w:rPr>
        <w:t xml:space="preserve">. Ungeschützte Sicherheits-Lichtvorhänge können in einer solchen </w:t>
      </w:r>
      <w:r w:rsidR="00BB37CA">
        <w:rPr>
          <w:rFonts w:cs="Arial"/>
          <w:szCs w:val="20"/>
        </w:rPr>
        <w:t>Umgebung</w:t>
      </w:r>
      <w:r>
        <w:rPr>
          <w:rFonts w:cs="Arial"/>
          <w:szCs w:val="20"/>
        </w:rPr>
        <w:t xml:space="preserve"> eine Explosion auslösen. </w:t>
      </w:r>
      <w:r w:rsidRPr="00FB4604">
        <w:rPr>
          <w:rFonts w:cs="Arial"/>
          <w:szCs w:val="20"/>
        </w:rPr>
        <w:t xml:space="preserve">Das Explosionsschutzgehäuse </w:t>
      </w:r>
      <w:r>
        <w:rPr>
          <w:rFonts w:cs="Arial"/>
          <w:szCs w:val="20"/>
        </w:rPr>
        <w:t xml:space="preserve">von SICK mit eingebautem Sicherheits-Lichtvorhang </w:t>
      </w:r>
      <w:r w:rsidRPr="00FB4604">
        <w:rPr>
          <w:rFonts w:cs="Arial"/>
          <w:szCs w:val="20"/>
        </w:rPr>
        <w:t>lässt die Explosionsgefahr</w:t>
      </w:r>
      <w:r>
        <w:rPr>
          <w:rFonts w:cs="Arial"/>
          <w:szCs w:val="20"/>
        </w:rPr>
        <w:t xml:space="preserve"> zuverlässig außen vor. </w:t>
      </w:r>
    </w:p>
    <w:p w:rsidR="00FB4604" w:rsidRPr="00AE1A60" w:rsidRDefault="00E5504F" w:rsidP="00D0715C">
      <w:pPr>
        <w:pStyle w:val="berschrift2"/>
        <w:suppressAutoHyphens/>
        <w:rPr>
          <w:rFonts w:cs="Arial"/>
          <w:szCs w:val="20"/>
        </w:rPr>
      </w:pPr>
      <w:r>
        <w:rPr>
          <w:rFonts w:cs="Arial"/>
          <w:szCs w:val="20"/>
        </w:rPr>
        <w:t>Sicherheit</w:t>
      </w:r>
      <w:r w:rsidR="00AE1A60" w:rsidRPr="00AE1A60">
        <w:rPr>
          <w:rFonts w:cs="Arial"/>
          <w:szCs w:val="20"/>
        </w:rPr>
        <w:t xml:space="preserve"> auch unter extremen Bedingungen</w:t>
      </w:r>
    </w:p>
    <w:p w:rsidR="00FB4604" w:rsidRPr="00AE39C0" w:rsidRDefault="00FB4604" w:rsidP="00D0715C">
      <w:pPr>
        <w:suppressAutoHyphens/>
        <w:rPr>
          <w:rFonts w:cs="Arial"/>
          <w:szCs w:val="20"/>
        </w:rPr>
      </w:pPr>
      <w:r w:rsidRPr="00AE1A60">
        <w:rPr>
          <w:rFonts w:cs="Arial"/>
          <w:szCs w:val="20"/>
        </w:rPr>
        <w:t>Das robuste Explosionsschutzg</w:t>
      </w:r>
      <w:r w:rsidR="00AE1A60" w:rsidRPr="00AE1A60">
        <w:rPr>
          <w:rFonts w:cs="Arial"/>
          <w:szCs w:val="20"/>
        </w:rPr>
        <w:t>ehäuse aus Aluminium ist in vier</w:t>
      </w:r>
      <w:r w:rsidRPr="00AE1A60">
        <w:rPr>
          <w:rFonts w:cs="Arial"/>
          <w:szCs w:val="20"/>
        </w:rPr>
        <w:t xml:space="preserve"> unterschiedlichen Längen verfügbar. Dies ermöglicht Sch</w:t>
      </w:r>
      <w:r w:rsidR="00AE1A60" w:rsidRPr="00AE1A60">
        <w:rPr>
          <w:rFonts w:cs="Arial"/>
          <w:szCs w:val="20"/>
        </w:rPr>
        <w:t xml:space="preserve">utzfeldhöhen von 600 mm, 900 mm, </w:t>
      </w:r>
      <w:r w:rsidRPr="00AE1A60">
        <w:rPr>
          <w:rFonts w:cs="Arial"/>
          <w:szCs w:val="20"/>
        </w:rPr>
        <w:t>1.200 mm</w:t>
      </w:r>
      <w:r w:rsidR="00AE1A60" w:rsidRPr="00AE1A60">
        <w:rPr>
          <w:rFonts w:cs="Arial"/>
          <w:szCs w:val="20"/>
        </w:rPr>
        <w:t xml:space="preserve"> und 1.500 mm</w:t>
      </w:r>
      <w:r w:rsidRPr="00AE1A60">
        <w:rPr>
          <w:rFonts w:cs="Arial"/>
          <w:szCs w:val="20"/>
        </w:rPr>
        <w:t xml:space="preserve">. Bei einer einheitlichen Auflösung von 30 mm </w:t>
      </w:r>
      <w:r w:rsidR="00AE1A60" w:rsidRPr="00AE1A60">
        <w:rPr>
          <w:rFonts w:cs="Arial"/>
          <w:szCs w:val="20"/>
        </w:rPr>
        <w:t>kann eine</w:t>
      </w:r>
      <w:r w:rsidRPr="00AE1A60">
        <w:rPr>
          <w:rFonts w:cs="Arial"/>
          <w:szCs w:val="20"/>
        </w:rPr>
        <w:t xml:space="preserve"> Reichweite von acht Meter realisiert werden</w:t>
      </w:r>
      <w:r w:rsidR="00AE1A60" w:rsidRPr="00AE1A60">
        <w:rPr>
          <w:rFonts w:cs="Arial"/>
          <w:szCs w:val="20"/>
        </w:rPr>
        <w:t xml:space="preserve">. </w:t>
      </w:r>
      <w:r w:rsidRPr="00AE1A60">
        <w:rPr>
          <w:rFonts w:cs="Arial"/>
          <w:szCs w:val="20"/>
        </w:rPr>
        <w:t xml:space="preserve">Alle </w:t>
      </w:r>
      <w:r w:rsidR="00AE1A60" w:rsidRPr="00AE1A60">
        <w:rPr>
          <w:rFonts w:cs="Arial"/>
          <w:szCs w:val="20"/>
        </w:rPr>
        <w:t>Geräte</w:t>
      </w:r>
      <w:r w:rsidRPr="00AE1A60">
        <w:rPr>
          <w:rFonts w:cs="Arial"/>
          <w:szCs w:val="20"/>
        </w:rPr>
        <w:t xml:space="preserve"> sind im Auslieferungszustand fest in das Schutzgehäuse vorinstalliert und können schnell in Betrieb genommen werden. Das beständige, leicht zu reinigende Material sowie der Schutz gegen Staub und Wasser sorgen </w:t>
      </w:r>
      <w:r>
        <w:rPr>
          <w:rFonts w:cs="Arial"/>
          <w:szCs w:val="20"/>
        </w:rPr>
        <w:t xml:space="preserve">für einen nahezu ausfallfreien Einsatz – auch unter </w:t>
      </w:r>
      <w:r w:rsidR="00AE1A60">
        <w:rPr>
          <w:rFonts w:cs="Arial"/>
          <w:szCs w:val="20"/>
        </w:rPr>
        <w:t>extremen</w:t>
      </w:r>
      <w:r>
        <w:rPr>
          <w:rFonts w:cs="Arial"/>
          <w:szCs w:val="20"/>
        </w:rPr>
        <w:t xml:space="preserve"> Bedingungen. Sämtliche vorliegenden Zertifizierungen bestätigen die hohe Materialbeständigkeit gegenüber Explosionen innerhalb des Gehäuses.</w:t>
      </w:r>
    </w:p>
    <w:p w:rsidR="00FB4604" w:rsidRPr="00CC2432" w:rsidRDefault="00FB4604" w:rsidP="00D0715C">
      <w:pPr>
        <w:pStyle w:val="berschrift2"/>
        <w:suppressAutoHyphens/>
        <w:rPr>
          <w:rFonts w:cs="Arial"/>
          <w:szCs w:val="20"/>
        </w:rPr>
      </w:pPr>
      <w:r>
        <w:rPr>
          <w:rFonts w:cs="Arial"/>
          <w:szCs w:val="20"/>
        </w:rPr>
        <w:t>Zertifizierung mit höchsten Schutzklassen</w:t>
      </w:r>
    </w:p>
    <w:p w:rsidR="00AE1A60" w:rsidRDefault="00FB4604" w:rsidP="00E5504F">
      <w:pPr>
        <w:spacing w:line="240" w:lineRule="auto"/>
        <w:rPr>
          <w:rFonts w:cs="Arial"/>
          <w:szCs w:val="20"/>
        </w:rPr>
      </w:pPr>
      <w:r w:rsidRPr="00CC2432">
        <w:rPr>
          <w:rFonts w:cs="Arial"/>
          <w:szCs w:val="20"/>
        </w:rPr>
        <w:t xml:space="preserve">Das druckfest gekapselte Gehäuse für Sicherheits-Lichtvorhänge ist ausgelegt und zugelassen </w:t>
      </w:r>
      <w:r w:rsidR="00AE1A60">
        <w:t xml:space="preserve">für den Einsatz gemäß ATEX für Gas: II 2 G Ex d IIB T6 </w:t>
      </w:r>
      <w:proofErr w:type="spellStart"/>
      <w:r w:rsidR="00AE1A60">
        <w:t>Gb</w:t>
      </w:r>
      <w:proofErr w:type="spellEnd"/>
      <w:r w:rsidR="00AE1A60">
        <w:t xml:space="preserve">, für Staub: II 2 D Ex </w:t>
      </w:r>
      <w:proofErr w:type="spellStart"/>
      <w:r w:rsidR="00AE1A60">
        <w:t>tb</w:t>
      </w:r>
      <w:proofErr w:type="spellEnd"/>
      <w:r w:rsidR="00AE1A60">
        <w:t xml:space="preserve"> IIIC T56°C </w:t>
      </w:r>
      <w:proofErr w:type="spellStart"/>
      <w:r w:rsidR="00AE1A60">
        <w:t>Db</w:t>
      </w:r>
      <w:proofErr w:type="spellEnd"/>
      <w:r w:rsidR="00AE1A60">
        <w:t>. NFPA 70/NEC 500, Klasse I, Div. 1, Gruppen C und D, Klasse II, Div. 1, Gruppen E,</w:t>
      </w:r>
      <w:r w:rsidR="00E5504F">
        <w:t xml:space="preserve"> F und G und Klasse III, Div. 1. </w:t>
      </w:r>
      <w:r w:rsidRPr="00CC2432">
        <w:rPr>
          <w:rFonts w:cs="Arial"/>
          <w:szCs w:val="20"/>
        </w:rPr>
        <w:t>Das Gehäuse ist</w:t>
      </w:r>
      <w:r w:rsidR="00AE1A60">
        <w:rPr>
          <w:rFonts w:cs="Arial"/>
          <w:szCs w:val="20"/>
        </w:rPr>
        <w:t xml:space="preserve"> darüber hinaus</w:t>
      </w:r>
      <w:r w:rsidRPr="00CC2432">
        <w:rPr>
          <w:rFonts w:cs="Arial"/>
          <w:szCs w:val="20"/>
        </w:rPr>
        <w:t xml:space="preserve"> kompatibel mit zahlreichen Sicherheits-Lichtvorhängen von SICK und eignet sich für den Einsatz in Lackierkabinen, Getreidesilos, Anlagen der chemischen Industrie</w:t>
      </w:r>
      <w:r>
        <w:rPr>
          <w:rFonts w:cs="Arial"/>
          <w:szCs w:val="20"/>
        </w:rPr>
        <w:t xml:space="preserve">, </w:t>
      </w:r>
      <w:proofErr w:type="spellStart"/>
      <w:r w:rsidRPr="00FB4604">
        <w:rPr>
          <w:rFonts w:cs="Arial"/>
          <w:szCs w:val="20"/>
        </w:rPr>
        <w:t>Pharmazeutikaherstellung</w:t>
      </w:r>
      <w:proofErr w:type="spellEnd"/>
      <w:r>
        <w:rPr>
          <w:rFonts w:cs="Arial"/>
          <w:szCs w:val="20"/>
        </w:rPr>
        <w:t>, Maschinenbau</w:t>
      </w:r>
      <w:r w:rsidRPr="00CC2432">
        <w:rPr>
          <w:rFonts w:cs="Arial"/>
          <w:szCs w:val="20"/>
        </w:rPr>
        <w:t xml:space="preserve"> etc. </w:t>
      </w:r>
    </w:p>
    <w:p w:rsidR="00AE1A60" w:rsidRDefault="00AE1A60" w:rsidP="00D0715C">
      <w:pPr>
        <w:suppressAutoHyphens/>
        <w:rPr>
          <w:rFonts w:cs="Arial"/>
          <w:szCs w:val="20"/>
        </w:rPr>
      </w:pPr>
    </w:p>
    <w:p w:rsidR="00FB4604" w:rsidRDefault="00FB4604" w:rsidP="00D0715C">
      <w:pPr>
        <w:suppressAutoHyphens/>
        <w:rPr>
          <w:rFonts w:cs="Arial"/>
          <w:szCs w:val="20"/>
        </w:rPr>
      </w:pPr>
      <w:r w:rsidRPr="00CC2432">
        <w:rPr>
          <w:rFonts w:cs="Arial"/>
          <w:szCs w:val="20"/>
        </w:rPr>
        <w:t>Die Kombination aus druckfest gekapseltem Gehäuse und Sicherheits-Lichtvorhang wurde den entsprechenden Prüfungen unterzogen</w:t>
      </w:r>
      <w:r>
        <w:rPr>
          <w:rFonts w:cs="Arial"/>
          <w:szCs w:val="20"/>
        </w:rPr>
        <w:t xml:space="preserve"> und ist die bislang auf dem Markt einzigartige UL-geprüfte, vorverdrahtete Lösung. Sie bietet höchsten Schutz und erfüllt zuverlässig </w:t>
      </w:r>
      <w:r w:rsidRPr="00CC2432">
        <w:rPr>
          <w:rFonts w:cs="Arial"/>
          <w:szCs w:val="20"/>
        </w:rPr>
        <w:t>alle erforderlichen Sicherheitsstandards und regulatorischen Anforderungen.</w:t>
      </w:r>
    </w:p>
    <w:p w:rsidR="00FB4604" w:rsidRDefault="00FB4604" w:rsidP="00D0715C">
      <w:pPr>
        <w:suppressAutoHyphens/>
        <w:rPr>
          <w:rFonts w:cs="Arial"/>
          <w:szCs w:val="20"/>
        </w:rPr>
      </w:pPr>
    </w:p>
    <w:p w:rsidR="00FB4604" w:rsidRDefault="00FB4604" w:rsidP="00D0715C">
      <w:pPr>
        <w:suppressAutoHyphens/>
        <w:rPr>
          <w:rFonts w:cs="Arial"/>
          <w:szCs w:val="20"/>
        </w:rPr>
      </w:pPr>
    </w:p>
    <w:p w:rsidR="00FB4604" w:rsidRDefault="00FB4604" w:rsidP="00D0715C">
      <w:pPr>
        <w:suppressAutoHyphens/>
        <w:rPr>
          <w:rFonts w:cs="Arial"/>
          <w:szCs w:val="20"/>
        </w:rPr>
      </w:pPr>
      <w:r>
        <w:rPr>
          <w:rFonts w:cs="Arial"/>
          <w:szCs w:val="20"/>
        </w:rPr>
        <w:t>Bild: deTec4_Core_Ex_IM0054762.jpg</w:t>
      </w:r>
    </w:p>
    <w:p w:rsidR="00FB4604" w:rsidRPr="00CC2432" w:rsidRDefault="00FB4604" w:rsidP="00D0715C">
      <w:pPr>
        <w:suppressAutoHyphens/>
        <w:rPr>
          <w:rFonts w:cs="Arial"/>
          <w:szCs w:val="20"/>
        </w:rPr>
      </w:pPr>
      <w:r>
        <w:rPr>
          <w:rFonts w:cs="Arial"/>
          <w:szCs w:val="20"/>
        </w:rPr>
        <w:t>Mit dem deTec4 Core Ex wird die Explosionsgefahr zuverlässig gebannt.</w:t>
      </w:r>
    </w:p>
    <w:p w:rsidR="00FB4604" w:rsidRDefault="00FB4604" w:rsidP="00D0715C">
      <w:pPr>
        <w:pStyle w:val="Boilerplate"/>
        <w:suppressAutoHyphens/>
      </w:pPr>
      <w:r w:rsidRPr="00D36503">
        <w:lastRenderedPageBreak/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>
        <w:br/>
      </w:r>
      <w:r w:rsidRPr="00D36503">
        <w:t>50 Tochtergesellschaften und Beteiligungen sowie zahlreichen Vertretungen rund um den Globus präsent. Im Geschäftsjahr 201</w:t>
      </w:r>
      <w:r>
        <w:t>4</w:t>
      </w:r>
      <w:r w:rsidRPr="00D36503">
        <w:t xml:space="preserve"> beschäftigte SICK</w:t>
      </w:r>
      <w:r>
        <w:t xml:space="preserve"> rund 7</w:t>
      </w:r>
      <w:r w:rsidRPr="00D36503">
        <w:t>.</w:t>
      </w:r>
      <w:r>
        <w:t>0</w:t>
      </w:r>
      <w:r w:rsidRPr="00D36503">
        <w:t>00 Mitarbeiter weltweit und erzielte einen Konzernumsatz von 1.0</w:t>
      </w:r>
      <w:r>
        <w:t>9</w:t>
      </w:r>
      <w:r w:rsidRPr="00D36503">
        <w:t>9,</w:t>
      </w:r>
      <w:r>
        <w:t>8</w:t>
      </w:r>
      <w:r w:rsidRPr="00D36503">
        <w:t xml:space="preserve"> Mio. Euro.</w:t>
      </w:r>
    </w:p>
    <w:sectPr w:rsidR="00FB4604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04" w:rsidRDefault="008C7904" w:rsidP="00CB0E99">
      <w:pPr>
        <w:spacing w:line="240" w:lineRule="auto"/>
      </w:pPr>
      <w:r>
        <w:separator/>
      </w:r>
    </w:p>
  </w:endnote>
  <w:endnote w:type="continuationSeparator" w:id="0">
    <w:p w:rsidR="008C7904" w:rsidRDefault="008C7904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7D4991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7D4991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04" w:rsidRDefault="008C7904" w:rsidP="00CB0E99">
      <w:pPr>
        <w:spacing w:line="240" w:lineRule="auto"/>
      </w:pPr>
      <w:r>
        <w:separator/>
      </w:r>
    </w:p>
  </w:footnote>
  <w:footnote w:type="continuationSeparator" w:id="0">
    <w:p w:rsidR="008C7904" w:rsidRDefault="008C7904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04"/>
    <w:rsid w:val="000077BD"/>
    <w:rsid w:val="00047437"/>
    <w:rsid w:val="000E2D3C"/>
    <w:rsid w:val="000F5C66"/>
    <w:rsid w:val="001310B9"/>
    <w:rsid w:val="00144B8E"/>
    <w:rsid w:val="0015775E"/>
    <w:rsid w:val="00161D1B"/>
    <w:rsid w:val="0017428D"/>
    <w:rsid w:val="00190A9B"/>
    <w:rsid w:val="001A5682"/>
    <w:rsid w:val="001B3A32"/>
    <w:rsid w:val="001C6197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B10E3"/>
    <w:rsid w:val="002C16DF"/>
    <w:rsid w:val="00311305"/>
    <w:rsid w:val="00365DDC"/>
    <w:rsid w:val="00377DF0"/>
    <w:rsid w:val="00390C85"/>
    <w:rsid w:val="00392F4D"/>
    <w:rsid w:val="003B7380"/>
    <w:rsid w:val="00423AA8"/>
    <w:rsid w:val="004D70DF"/>
    <w:rsid w:val="005027F6"/>
    <w:rsid w:val="0051004F"/>
    <w:rsid w:val="00514A5D"/>
    <w:rsid w:val="00547286"/>
    <w:rsid w:val="005554B4"/>
    <w:rsid w:val="005774AB"/>
    <w:rsid w:val="005864EF"/>
    <w:rsid w:val="005E7596"/>
    <w:rsid w:val="005E790D"/>
    <w:rsid w:val="005F0DE6"/>
    <w:rsid w:val="005F4798"/>
    <w:rsid w:val="00620BA5"/>
    <w:rsid w:val="006374FF"/>
    <w:rsid w:val="00637F15"/>
    <w:rsid w:val="006A725F"/>
    <w:rsid w:val="006C5AFB"/>
    <w:rsid w:val="006D5701"/>
    <w:rsid w:val="006F09FE"/>
    <w:rsid w:val="006F6DE2"/>
    <w:rsid w:val="00721ACC"/>
    <w:rsid w:val="00731011"/>
    <w:rsid w:val="00735B1C"/>
    <w:rsid w:val="00744175"/>
    <w:rsid w:val="0075680B"/>
    <w:rsid w:val="0079794B"/>
    <w:rsid w:val="007A0763"/>
    <w:rsid w:val="007B152C"/>
    <w:rsid w:val="007D4991"/>
    <w:rsid w:val="007D7404"/>
    <w:rsid w:val="007E6CE3"/>
    <w:rsid w:val="007F0429"/>
    <w:rsid w:val="008940AA"/>
    <w:rsid w:val="00894D20"/>
    <w:rsid w:val="008B6429"/>
    <w:rsid w:val="008C21FC"/>
    <w:rsid w:val="008C7904"/>
    <w:rsid w:val="00910D8D"/>
    <w:rsid w:val="009A4D04"/>
    <w:rsid w:val="009C1042"/>
    <w:rsid w:val="009C7C76"/>
    <w:rsid w:val="00A07CF8"/>
    <w:rsid w:val="00A33D14"/>
    <w:rsid w:val="00A4395C"/>
    <w:rsid w:val="00A4733D"/>
    <w:rsid w:val="00A775E9"/>
    <w:rsid w:val="00A83582"/>
    <w:rsid w:val="00A863F5"/>
    <w:rsid w:val="00AB0A33"/>
    <w:rsid w:val="00AD475D"/>
    <w:rsid w:val="00AE1A60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A26EB"/>
    <w:rsid w:val="00BB37CA"/>
    <w:rsid w:val="00BC6C05"/>
    <w:rsid w:val="00BD1EED"/>
    <w:rsid w:val="00BD2BE3"/>
    <w:rsid w:val="00C02C79"/>
    <w:rsid w:val="00C04E45"/>
    <w:rsid w:val="00C11CFF"/>
    <w:rsid w:val="00C22B42"/>
    <w:rsid w:val="00C27B9E"/>
    <w:rsid w:val="00C3606D"/>
    <w:rsid w:val="00C7643D"/>
    <w:rsid w:val="00C84DBD"/>
    <w:rsid w:val="00C92212"/>
    <w:rsid w:val="00CB0E99"/>
    <w:rsid w:val="00CB6416"/>
    <w:rsid w:val="00CC2432"/>
    <w:rsid w:val="00D36503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4E05"/>
    <w:rsid w:val="00E273D4"/>
    <w:rsid w:val="00E33724"/>
    <w:rsid w:val="00E43D52"/>
    <w:rsid w:val="00E5504F"/>
    <w:rsid w:val="00E753B2"/>
    <w:rsid w:val="00ED34D2"/>
    <w:rsid w:val="00EE67CC"/>
    <w:rsid w:val="00F05A05"/>
    <w:rsid w:val="00F17459"/>
    <w:rsid w:val="00F52337"/>
    <w:rsid w:val="00F5454F"/>
    <w:rsid w:val="00F578B5"/>
    <w:rsid w:val="00F7375F"/>
    <w:rsid w:val="00F92ADD"/>
    <w:rsid w:val="00FA43DE"/>
    <w:rsid w:val="00FB0FEE"/>
    <w:rsid w:val="00FB4604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8A67C6EFE4C43B2FF7B63A422E92F" ma:contentTypeVersion="1" ma:contentTypeDescription="Ein neues Dokument erstellen." ma:contentTypeScope="" ma:versionID="4b7c8b26711b9e67ec44b177650528b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64da508d8b2171b9e0ac86c4c9c9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B81CF8-E091-46D6-AA7B-A3E276F71E71}"/>
</file>

<file path=customXml/itemProps2.xml><?xml version="1.0" encoding="utf-8"?>
<ds:datastoreItem xmlns:ds="http://schemas.openxmlformats.org/officeDocument/2006/customXml" ds:itemID="{F0BF04B9-E37C-41DD-B51B-2511F69FD633}"/>
</file>

<file path=customXml/itemProps3.xml><?xml version="1.0" encoding="utf-8"?>
<ds:datastoreItem xmlns:ds="http://schemas.openxmlformats.org/officeDocument/2006/customXml" ds:itemID="{90873AF9-42B2-4CCB-B781-61754022303B}"/>
</file>

<file path=customXml/itemProps4.xml><?xml version="1.0" encoding="utf-8"?>
<ds:datastoreItem xmlns:ds="http://schemas.openxmlformats.org/officeDocument/2006/customXml" ds:itemID="{5F458DDF-6DD6-4A4F-9030-93381E06B1E1}"/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428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Silvia Puckl</cp:lastModifiedBy>
  <cp:revision>4</cp:revision>
  <cp:lastPrinted>2015-05-27T08:06:00Z</cp:lastPrinted>
  <dcterms:created xsi:type="dcterms:W3CDTF">2015-05-22T11:28:00Z</dcterms:created>
  <dcterms:modified xsi:type="dcterms:W3CDTF">2015-05-27T08:06:00Z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0x0101002C78A67C6EFE4C43B2FF7B63A422E92F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