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25" w:rsidRPr="00B149B1" w:rsidRDefault="00E43A25" w:rsidP="00546029">
      <w:pPr>
        <w:pStyle w:val="berschrift1"/>
        <w:rPr>
          <w:rFonts w:cs="Arial"/>
          <w:bCs/>
          <w:color w:val="555555"/>
          <w:sz w:val="32"/>
          <w:szCs w:val="32"/>
        </w:rPr>
      </w:pPr>
      <w:r w:rsidRPr="000E30B0">
        <w:rPr>
          <w:rFonts w:cs="Arial"/>
          <w:color w:val="595959"/>
          <w:sz w:val="32"/>
          <w:szCs w:val="32"/>
        </w:rPr>
        <w:t>W100-2 Miniatur-Lichtschranken</w:t>
      </w:r>
      <w:r w:rsidRPr="00B149B1">
        <w:rPr>
          <w:rFonts w:cs="Arial"/>
          <w:bCs/>
          <w:color w:val="555555"/>
          <w:sz w:val="32"/>
          <w:szCs w:val="32"/>
        </w:rPr>
        <w:t xml:space="preserve"> mit hohen Schaltabständen</w:t>
      </w:r>
    </w:p>
    <w:p w:rsidR="00E43A25" w:rsidRPr="000E30B0" w:rsidRDefault="00E43A25" w:rsidP="0054602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95959"/>
          <w:sz w:val="20"/>
        </w:rPr>
      </w:pPr>
    </w:p>
    <w:p w:rsidR="00E43A25" w:rsidRPr="000E30B0" w:rsidRDefault="00E43A25" w:rsidP="00546029">
      <w:pPr>
        <w:shd w:val="clear" w:color="auto" w:fill="FFFFFF"/>
        <w:spacing w:line="360" w:lineRule="atLeast"/>
        <w:jc w:val="both"/>
        <w:rPr>
          <w:rFonts w:ascii="Arial" w:hAnsi="Arial" w:cs="Arial"/>
          <w:b/>
          <w:color w:val="595959"/>
          <w:sz w:val="20"/>
        </w:rPr>
      </w:pPr>
      <w:r w:rsidRPr="000E30B0">
        <w:rPr>
          <w:rFonts w:ascii="Arial" w:hAnsi="Arial" w:cs="Arial"/>
          <w:b/>
          <w:color w:val="595959"/>
          <w:sz w:val="20"/>
        </w:rPr>
        <w:t>Waldkirch, März 2015 –</w:t>
      </w:r>
      <w:r w:rsidRPr="00B149B1">
        <w:rPr>
          <w:rFonts w:ascii="Tahoma" w:hAnsi="Tahoma" w:cs="Tahoma"/>
          <w:color w:val="555555"/>
          <w:sz w:val="18"/>
          <w:szCs w:val="18"/>
        </w:rPr>
        <w:t xml:space="preserve"> </w:t>
      </w:r>
      <w:r w:rsidRPr="000E30B0">
        <w:rPr>
          <w:rFonts w:ascii="Arial" w:hAnsi="Arial" w:cs="Arial"/>
          <w:b/>
          <w:color w:val="595959"/>
          <w:sz w:val="20"/>
        </w:rPr>
        <w:t>Miniatur-Lichtschranken W100-2 umfassen alle gängigen Detektionspri</w:t>
      </w:r>
      <w:r w:rsidRPr="000E30B0">
        <w:rPr>
          <w:rFonts w:ascii="Arial" w:hAnsi="Arial" w:cs="Arial"/>
          <w:b/>
          <w:color w:val="595959"/>
          <w:sz w:val="20"/>
        </w:rPr>
        <w:t>n</w:t>
      </w:r>
      <w:r w:rsidRPr="000E30B0">
        <w:rPr>
          <w:rFonts w:ascii="Arial" w:hAnsi="Arial" w:cs="Arial"/>
          <w:b/>
          <w:color w:val="595959"/>
          <w:sz w:val="20"/>
        </w:rPr>
        <w:t xml:space="preserve">zipien (Einweg-Lichtschranke, </w:t>
      </w:r>
      <w:r>
        <w:rPr>
          <w:rFonts w:ascii="Arial" w:hAnsi="Arial" w:cs="Arial"/>
          <w:b/>
          <w:color w:val="595959"/>
          <w:sz w:val="20"/>
        </w:rPr>
        <w:t>Reflexions-Lichtschranke</w:t>
      </w:r>
      <w:r w:rsidRPr="000E30B0">
        <w:rPr>
          <w:rFonts w:ascii="Arial" w:hAnsi="Arial" w:cs="Arial"/>
          <w:b/>
          <w:color w:val="595959"/>
          <w:sz w:val="20"/>
        </w:rPr>
        <w:t xml:space="preserve">, </w:t>
      </w:r>
      <w:r>
        <w:rPr>
          <w:rFonts w:ascii="Arial" w:hAnsi="Arial" w:cs="Arial"/>
          <w:b/>
          <w:color w:val="595959"/>
          <w:sz w:val="20"/>
        </w:rPr>
        <w:t>Reflexions-Lichtschranke</w:t>
      </w:r>
      <w:r w:rsidRPr="000E30B0">
        <w:rPr>
          <w:rFonts w:ascii="Arial" w:hAnsi="Arial" w:cs="Arial"/>
          <w:b/>
          <w:color w:val="595959"/>
          <w:sz w:val="20"/>
        </w:rPr>
        <w:t xml:space="preserve"> zur Detektion transparenter Objekte, energetischer Lichttaster und Lichtraster mit Hintergrundunterdrückung) und sind somit echte Allrounder der Detektion. Die etablierte Gehäusebauform mit M3-Befestigungsgewinden im 1-Zoll-Lochabstand erlaubt eine einfache, standardisierte und koste</w:t>
      </w:r>
      <w:r w:rsidRPr="000E30B0">
        <w:rPr>
          <w:rFonts w:ascii="Arial" w:hAnsi="Arial" w:cs="Arial"/>
          <w:b/>
          <w:color w:val="595959"/>
          <w:sz w:val="20"/>
        </w:rPr>
        <w:t>n</w:t>
      </w:r>
      <w:r w:rsidRPr="000E30B0">
        <w:rPr>
          <w:rFonts w:ascii="Arial" w:hAnsi="Arial" w:cs="Arial"/>
          <w:b/>
          <w:color w:val="595959"/>
          <w:sz w:val="20"/>
        </w:rPr>
        <w:t>günstige Montage. Somit bietet die Produktfamilie W100-2 ökonomische fotoelektrische Sensorik mit herausragender Leistung.</w:t>
      </w:r>
    </w:p>
    <w:p w:rsidR="00E43A25" w:rsidRPr="000E30B0" w:rsidRDefault="00E43A25" w:rsidP="00546029">
      <w:pPr>
        <w:shd w:val="clear" w:color="auto" w:fill="FFFFFF"/>
        <w:spacing w:line="360" w:lineRule="atLeast"/>
        <w:jc w:val="both"/>
        <w:rPr>
          <w:rFonts w:ascii="Arial" w:hAnsi="Arial" w:cs="Arial"/>
          <w:b/>
          <w:color w:val="595959"/>
          <w:sz w:val="20"/>
        </w:rPr>
      </w:pP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color w:val="595959"/>
          <w:sz w:val="20"/>
        </w:rPr>
      </w:pPr>
      <w:r w:rsidRPr="000E30B0">
        <w:rPr>
          <w:rFonts w:ascii="Arial" w:hAnsi="Arial" w:cs="Arial"/>
          <w:b/>
          <w:color w:val="595959"/>
          <w:sz w:val="20"/>
        </w:rPr>
        <w:t>Energetischer Reflexions-Lichttaster mit hohem Schaltabstand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  <w:r w:rsidRPr="000E30B0">
        <w:rPr>
          <w:rFonts w:ascii="Arial" w:hAnsi="Arial" w:cs="Arial"/>
          <w:color w:val="595959"/>
          <w:sz w:val="20"/>
        </w:rPr>
        <w:t xml:space="preserve">Der energetische Reflexions-Lichttaster WT100-2 zeichnet sich durch hohe Schaltabstände von bis zu 1,2 m aus. Der helle sichtbare Lichtfleck, die gut sichtbaren Statusanzeige-LEDs und das integrierte M3-Befestigungsgewinde ermöglichen eine schnelle und unkomplizierte Inbetriebnahme. Der Lichttaster ist für das Lösen zahlreicher Aufgaben geeignet: Wahlmöglichkeiten beim Schaltausgang (PNP oder </w:t>
      </w:r>
      <w:r>
        <w:rPr>
          <w:rFonts w:ascii="Arial" w:hAnsi="Arial" w:cs="Arial"/>
          <w:color w:val="595959"/>
          <w:sz w:val="20"/>
        </w:rPr>
        <w:t>NPN)</w:t>
      </w:r>
      <w:r w:rsidRPr="000E30B0">
        <w:rPr>
          <w:rFonts w:ascii="Arial" w:hAnsi="Arial" w:cs="Arial"/>
          <w:color w:val="595959"/>
          <w:sz w:val="20"/>
        </w:rPr>
        <w:t xml:space="preserve"> und bei der Anschlusstechnik (Stecker M8, 3-polig; Stecker M8, 4-polig; Leitung 2 m), Hell-/Dunkelumschaltung und Empfindlichkeitseinstellung schaffen eine Vielfalt an Sensorvarianten. Das u</w:t>
      </w:r>
      <w:r w:rsidRPr="000E30B0">
        <w:rPr>
          <w:rFonts w:ascii="Arial" w:hAnsi="Arial" w:cs="Arial"/>
          <w:color w:val="595959"/>
          <w:sz w:val="20"/>
        </w:rPr>
        <w:t>m</w:t>
      </w:r>
      <w:r w:rsidRPr="000E30B0">
        <w:rPr>
          <w:rFonts w:ascii="Arial" w:hAnsi="Arial" w:cs="Arial"/>
          <w:color w:val="595959"/>
          <w:sz w:val="20"/>
        </w:rPr>
        <w:t>fangreiche Zubehör bietet zudem vielfältige Einsatzmöglichkeiten.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color w:val="595959"/>
          <w:sz w:val="20"/>
        </w:rPr>
      </w:pPr>
      <w:r w:rsidRPr="000E30B0">
        <w:rPr>
          <w:rFonts w:ascii="Arial" w:hAnsi="Arial" w:cs="Arial"/>
          <w:b/>
          <w:color w:val="595959"/>
          <w:sz w:val="20"/>
        </w:rPr>
        <w:t>Zuverlässige Detektion: Reflexions-Lichttaster mit Hintergrundunterdrückung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  <w:r w:rsidRPr="000E30B0">
        <w:rPr>
          <w:rFonts w:ascii="Arial" w:hAnsi="Arial" w:cs="Arial"/>
          <w:color w:val="595959"/>
          <w:sz w:val="20"/>
        </w:rPr>
        <w:t xml:space="preserve">Die Reflexions-Lichtschranke </w:t>
      </w:r>
      <w:r>
        <w:rPr>
          <w:rFonts w:ascii="Arial" w:hAnsi="Arial" w:cs="Arial"/>
          <w:color w:val="595959"/>
          <w:sz w:val="20"/>
        </w:rPr>
        <w:t>WT100-2</w:t>
      </w:r>
      <w:r w:rsidRPr="000E30B0">
        <w:rPr>
          <w:rFonts w:ascii="Arial" w:hAnsi="Arial" w:cs="Arial"/>
          <w:color w:val="595959"/>
          <w:sz w:val="20"/>
        </w:rPr>
        <w:t xml:space="preserve"> mit Hintergrundunterdrückung zeichnet sich durch zuverlässiges Detektionsverhalten bei gleichzeitigem Unterdrücken von Hintergründen aus. Der helle sichtbare Lich</w:t>
      </w:r>
      <w:r w:rsidRPr="000E30B0">
        <w:rPr>
          <w:rFonts w:ascii="Arial" w:hAnsi="Arial" w:cs="Arial"/>
          <w:color w:val="595959"/>
          <w:sz w:val="20"/>
        </w:rPr>
        <w:t>t</w:t>
      </w:r>
      <w:r w:rsidRPr="000E30B0">
        <w:rPr>
          <w:rFonts w:ascii="Arial" w:hAnsi="Arial" w:cs="Arial"/>
          <w:color w:val="595959"/>
          <w:sz w:val="20"/>
        </w:rPr>
        <w:t>fleck, die gut sichtbaren Statusanzeige-LEDs und das integrierte M3-Befestigungsgewinde ermöglichen eine schnelle und unkomplizierte Inbetriebnahme. Die Lichtschranke ist für das Lösen zahlreicher Aufg</w:t>
      </w:r>
      <w:r w:rsidRPr="000E30B0">
        <w:rPr>
          <w:rFonts w:ascii="Arial" w:hAnsi="Arial" w:cs="Arial"/>
          <w:color w:val="595959"/>
          <w:sz w:val="20"/>
        </w:rPr>
        <w:t>a</w:t>
      </w:r>
      <w:r w:rsidRPr="000E30B0">
        <w:rPr>
          <w:rFonts w:ascii="Arial" w:hAnsi="Arial" w:cs="Arial"/>
          <w:color w:val="595959"/>
          <w:sz w:val="20"/>
        </w:rPr>
        <w:t xml:space="preserve">ben geeignet: Wahlmöglichkeiten beim Schaltausgang (PNP oder </w:t>
      </w:r>
      <w:r>
        <w:rPr>
          <w:rFonts w:ascii="Arial" w:hAnsi="Arial" w:cs="Arial"/>
          <w:color w:val="595959"/>
          <w:sz w:val="20"/>
        </w:rPr>
        <w:t>NPN)</w:t>
      </w:r>
      <w:r w:rsidRPr="000E30B0">
        <w:rPr>
          <w:rFonts w:ascii="Arial" w:hAnsi="Arial" w:cs="Arial"/>
          <w:color w:val="595959"/>
          <w:sz w:val="20"/>
        </w:rPr>
        <w:t xml:space="preserve"> und bei der Anschlusstechnik (Stecker M8, 3-polig; Stecker M8, 4-polig; Leitung 2 m), Hell-/Dunkelumschaltung und Empfindlichkeit</w:t>
      </w:r>
      <w:r w:rsidRPr="000E30B0">
        <w:rPr>
          <w:rFonts w:ascii="Arial" w:hAnsi="Arial" w:cs="Arial"/>
          <w:color w:val="595959"/>
          <w:sz w:val="20"/>
        </w:rPr>
        <w:t>s</w:t>
      </w:r>
      <w:r w:rsidRPr="000E30B0">
        <w:rPr>
          <w:rFonts w:ascii="Arial" w:hAnsi="Arial" w:cs="Arial"/>
          <w:color w:val="595959"/>
          <w:sz w:val="20"/>
        </w:rPr>
        <w:t>einstellung schaffen eine Vielfalt an Sensorvarianten. Das umfangreiche Zubehör bietet zudem vielfältige Einsatzmöglichkeiten.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color w:val="595959"/>
          <w:sz w:val="20"/>
        </w:rPr>
      </w:pPr>
      <w:r w:rsidRPr="000E30B0">
        <w:rPr>
          <w:rFonts w:ascii="Arial" w:hAnsi="Arial" w:cs="Arial"/>
          <w:b/>
          <w:color w:val="595959"/>
          <w:sz w:val="20"/>
        </w:rPr>
        <w:t>Reflexions-Lichtschranke mit hohem Schaltabstand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  <w:r w:rsidRPr="000E30B0">
        <w:rPr>
          <w:rFonts w:ascii="Arial" w:hAnsi="Arial" w:cs="Arial"/>
          <w:color w:val="595959"/>
          <w:sz w:val="20"/>
        </w:rPr>
        <w:t xml:space="preserve">Die Reflexions-Lichtschranke WL100-2 zeichnet sich durch hohe Schaltabstände von mehr als 7 m auf den Reflektor PL80A aus. Der helle sichtbare Lichtfleck, die gut sichtbaren Statusanzeige-LEDs und das integrierte </w:t>
      </w:r>
      <w:r>
        <w:rPr>
          <w:rFonts w:ascii="Arial" w:hAnsi="Arial" w:cs="Arial"/>
          <w:color w:val="595959"/>
          <w:sz w:val="20"/>
        </w:rPr>
        <w:t>M3-Befestigungsgewinde ermöglichen</w:t>
      </w:r>
      <w:r w:rsidRPr="000E30B0">
        <w:rPr>
          <w:rFonts w:ascii="Arial" w:hAnsi="Arial" w:cs="Arial"/>
          <w:color w:val="595959"/>
          <w:sz w:val="20"/>
        </w:rPr>
        <w:t xml:space="preserve"> eine schnelle und unkomplizierte Inbetriebnahme. Die Lichtschranke ist für das Lösen zahlreicher Aufgaben geeignet: Wahlmöglichkeiten beim Schaltausgang (PNP oder </w:t>
      </w:r>
      <w:r>
        <w:rPr>
          <w:rFonts w:ascii="Arial" w:hAnsi="Arial" w:cs="Arial"/>
          <w:color w:val="595959"/>
          <w:sz w:val="20"/>
        </w:rPr>
        <w:t>NPN)</w:t>
      </w:r>
      <w:r w:rsidRPr="000E30B0">
        <w:rPr>
          <w:rFonts w:ascii="Arial" w:hAnsi="Arial" w:cs="Arial"/>
          <w:color w:val="595959"/>
          <w:sz w:val="20"/>
        </w:rPr>
        <w:t xml:space="preserve"> und bei der Anschlusstechnik (Stecker M8, 3-polig; Stecker M8, 4-polig; Leitung 2 m), Hell-/Dunkelumschaltung und Empfindlichkeitseinstellung schaffen eine Vielfalt an Sensorvarianten. Das umfangreiche Zubehör bietet zudem vielfältige Einsatzmöglichkeiten.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color w:val="595959"/>
          <w:sz w:val="20"/>
        </w:rPr>
      </w:pPr>
      <w:r w:rsidRPr="000E30B0">
        <w:rPr>
          <w:rFonts w:ascii="Arial" w:hAnsi="Arial" w:cs="Arial"/>
          <w:b/>
          <w:color w:val="595959"/>
          <w:sz w:val="20"/>
        </w:rPr>
        <w:t>Reflexions-Lichtschranke zur Detektion transparenter Objekte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  <w:r w:rsidRPr="000E30B0">
        <w:rPr>
          <w:rFonts w:ascii="Arial" w:hAnsi="Arial" w:cs="Arial"/>
          <w:color w:val="595959"/>
          <w:sz w:val="20"/>
        </w:rPr>
        <w:t>Die Reflexions-Lichtschranke WL100-2 zur Detektion transparenter Objekte zeichnet sich durch ein z</w:t>
      </w:r>
      <w:r w:rsidRPr="000E30B0">
        <w:rPr>
          <w:rFonts w:ascii="Arial" w:hAnsi="Arial" w:cs="Arial"/>
          <w:color w:val="595959"/>
          <w:sz w:val="20"/>
        </w:rPr>
        <w:t>u</w:t>
      </w:r>
      <w:r w:rsidRPr="000E30B0">
        <w:rPr>
          <w:rFonts w:ascii="Arial" w:hAnsi="Arial" w:cs="Arial"/>
          <w:color w:val="595959"/>
          <w:sz w:val="20"/>
        </w:rPr>
        <w:t>verlässiges Schaltverhalten und hohe Schaltabstände auf transparente Materialien aus. Der helle sichtb</w:t>
      </w:r>
      <w:r w:rsidRPr="000E30B0">
        <w:rPr>
          <w:rFonts w:ascii="Arial" w:hAnsi="Arial" w:cs="Arial"/>
          <w:color w:val="595959"/>
          <w:sz w:val="20"/>
        </w:rPr>
        <w:t>a</w:t>
      </w:r>
      <w:r w:rsidRPr="000E30B0">
        <w:rPr>
          <w:rFonts w:ascii="Arial" w:hAnsi="Arial" w:cs="Arial"/>
          <w:color w:val="595959"/>
          <w:sz w:val="20"/>
        </w:rPr>
        <w:t>re Lichtfleck, die gut sichtbaren Statusanzeige-LEDs und das integrierte M3-Befestigungsgewinde ermö</w:t>
      </w:r>
      <w:r w:rsidRPr="000E30B0">
        <w:rPr>
          <w:rFonts w:ascii="Arial" w:hAnsi="Arial" w:cs="Arial"/>
          <w:color w:val="595959"/>
          <w:sz w:val="20"/>
        </w:rPr>
        <w:t>g</w:t>
      </w:r>
      <w:r w:rsidRPr="000E30B0">
        <w:rPr>
          <w:rFonts w:ascii="Arial" w:hAnsi="Arial" w:cs="Arial"/>
          <w:color w:val="595959"/>
          <w:sz w:val="20"/>
        </w:rPr>
        <w:t xml:space="preserve">lichen eine schnelle und unkomplizierte Inbetriebnahme. Die Lichtschranke ist für das Lösen zahlreicher Aufgaben geeignet: Wahlmöglichkeiten beim </w:t>
      </w:r>
      <w:r>
        <w:rPr>
          <w:rFonts w:ascii="Arial" w:hAnsi="Arial" w:cs="Arial"/>
          <w:color w:val="595959"/>
          <w:sz w:val="20"/>
        </w:rPr>
        <w:t>Schaltausgang (</w:t>
      </w:r>
      <w:r w:rsidRPr="000E30B0">
        <w:rPr>
          <w:rFonts w:ascii="Arial" w:hAnsi="Arial" w:cs="Arial"/>
          <w:color w:val="595959"/>
          <w:sz w:val="20"/>
        </w:rPr>
        <w:t xml:space="preserve">PNP oder </w:t>
      </w:r>
      <w:r>
        <w:rPr>
          <w:rFonts w:ascii="Arial" w:hAnsi="Arial" w:cs="Arial"/>
          <w:color w:val="595959"/>
          <w:sz w:val="20"/>
        </w:rPr>
        <w:t>NPN)</w:t>
      </w:r>
      <w:r w:rsidRPr="000E30B0">
        <w:rPr>
          <w:rFonts w:ascii="Arial" w:hAnsi="Arial" w:cs="Arial"/>
          <w:color w:val="595959"/>
          <w:sz w:val="20"/>
        </w:rPr>
        <w:t xml:space="preserve"> und bei der Anschlus</w:t>
      </w:r>
      <w:r w:rsidRPr="000E30B0">
        <w:rPr>
          <w:rFonts w:ascii="Arial" w:hAnsi="Arial" w:cs="Arial"/>
          <w:color w:val="595959"/>
          <w:sz w:val="20"/>
        </w:rPr>
        <w:t>s</w:t>
      </w:r>
      <w:r w:rsidRPr="000E30B0">
        <w:rPr>
          <w:rFonts w:ascii="Arial" w:hAnsi="Arial" w:cs="Arial"/>
          <w:color w:val="595959"/>
          <w:sz w:val="20"/>
        </w:rPr>
        <w:t>technik (Stecker M8, 3-polig; Stecker M8, 4-polig; Leitung 2 m), Hell-/Dunkelumschaltung und Empfin</w:t>
      </w:r>
      <w:r w:rsidRPr="000E30B0">
        <w:rPr>
          <w:rFonts w:ascii="Arial" w:hAnsi="Arial" w:cs="Arial"/>
          <w:color w:val="595959"/>
          <w:sz w:val="20"/>
        </w:rPr>
        <w:t>d</w:t>
      </w:r>
      <w:r w:rsidRPr="000E30B0">
        <w:rPr>
          <w:rFonts w:ascii="Arial" w:hAnsi="Arial" w:cs="Arial"/>
          <w:color w:val="595959"/>
          <w:sz w:val="20"/>
        </w:rPr>
        <w:t>lichkeitseinstellung schaffen eine Vielfalt an Sensorvarianten. Das umfangreiche Zubehör bietet zudem vielfältige Einsatzmöglichkeiten.</w:t>
      </w: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</w:p>
    <w:p w:rsidR="00E43A25" w:rsidRPr="000E30B0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color w:val="595959"/>
          <w:sz w:val="20"/>
        </w:rPr>
      </w:pPr>
      <w:r w:rsidRPr="000E30B0">
        <w:rPr>
          <w:rFonts w:ascii="Arial" w:hAnsi="Arial" w:cs="Arial"/>
          <w:b/>
          <w:color w:val="595959"/>
          <w:sz w:val="20"/>
        </w:rPr>
        <w:t>Einweg-Lichtschranke mit hohem Schaltabstand</w:t>
      </w:r>
    </w:p>
    <w:p w:rsidR="00E43A25" w:rsidRPr="00546029" w:rsidRDefault="00E43A25" w:rsidP="00546029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595959"/>
          <w:sz w:val="20"/>
        </w:rPr>
      </w:pPr>
      <w:r w:rsidRPr="000E30B0">
        <w:rPr>
          <w:rFonts w:ascii="Arial" w:hAnsi="Arial" w:cs="Arial"/>
          <w:color w:val="595959"/>
          <w:sz w:val="20"/>
        </w:rPr>
        <w:t xml:space="preserve">Die Einweg-Lichtschranke WS/WE100-2 zeichnet sich durch hohe Schaltabstände von über 30 m aus. Der helle, gut sichtbare Lichtfleck, die gut sichtbaren Statusanzeige-LEDs und das integrierte M3-Befestigungsgewinde ermöglichen eine schnelle und unkomplizierte Inbetriebnahme. Wahlmöglichkeiten beim Schaltausgang (PNP oder </w:t>
      </w:r>
      <w:bookmarkStart w:id="0" w:name="_GoBack"/>
      <w:bookmarkEnd w:id="0"/>
      <w:r>
        <w:rPr>
          <w:rFonts w:ascii="Arial" w:hAnsi="Arial" w:cs="Arial"/>
          <w:color w:val="595959"/>
          <w:sz w:val="20"/>
        </w:rPr>
        <w:t>NPN)</w:t>
      </w:r>
      <w:r w:rsidRPr="000E30B0">
        <w:rPr>
          <w:rFonts w:ascii="Arial" w:hAnsi="Arial" w:cs="Arial"/>
          <w:color w:val="595959"/>
          <w:sz w:val="20"/>
        </w:rPr>
        <w:t xml:space="preserve"> und bei der Anschlusstechnik (Stecker M8, 3-polig; Stecker M8, 4-polig; Leitung 2 m), Hell-/Dunkelumschaltung und Empfindlichkeitseinstellung schaffen eine Vielfalt an Sensorvarianten. Durch das umfangreiche Zubehör (u. a. Schlitzblenden, Polarisationsfiltervorsätze) la</w:t>
      </w:r>
      <w:r w:rsidRPr="000E30B0">
        <w:rPr>
          <w:rFonts w:ascii="Arial" w:hAnsi="Arial" w:cs="Arial"/>
          <w:color w:val="595959"/>
          <w:sz w:val="20"/>
        </w:rPr>
        <w:t>s</w:t>
      </w:r>
      <w:r w:rsidRPr="000E30B0">
        <w:rPr>
          <w:rFonts w:ascii="Arial" w:hAnsi="Arial" w:cs="Arial"/>
          <w:color w:val="595959"/>
          <w:sz w:val="20"/>
        </w:rPr>
        <w:t>sen sich neben Standardapplikationen auch Positionieraufgaben und die Detektion kleiner Objekte zuve</w:t>
      </w:r>
      <w:r w:rsidRPr="000E30B0">
        <w:rPr>
          <w:rFonts w:ascii="Arial" w:hAnsi="Arial" w:cs="Arial"/>
          <w:color w:val="595959"/>
          <w:sz w:val="20"/>
        </w:rPr>
        <w:t>r</w:t>
      </w:r>
      <w:r w:rsidRPr="000E30B0">
        <w:rPr>
          <w:rFonts w:ascii="Arial" w:hAnsi="Arial" w:cs="Arial"/>
          <w:color w:val="595959"/>
          <w:sz w:val="20"/>
        </w:rPr>
        <w:t>lässig lösen.</w:t>
      </w:r>
    </w:p>
    <w:sectPr w:rsidR="00E43A25" w:rsidRPr="00546029">
      <w:headerReference w:type="default" r:id="rId12"/>
      <w:footerReference w:type="default" r:id="rId13"/>
      <w:headerReference w:type="first" r:id="rId14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5A" w:rsidRDefault="0042235A">
      <w:r>
        <w:separator/>
      </w:r>
    </w:p>
  </w:endnote>
  <w:endnote w:type="continuationSeparator" w:id="0">
    <w:p w:rsidR="0042235A" w:rsidRDefault="0042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9" w:rsidRDefault="008112E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E43A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5A" w:rsidRDefault="0042235A">
      <w:r>
        <w:separator/>
      </w:r>
    </w:p>
  </w:footnote>
  <w:footnote w:type="continuationSeparator" w:id="0">
    <w:p w:rsidR="0042235A" w:rsidRDefault="0042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0" w:rsidRDefault="001E4B30" w:rsidP="001E4B30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1E4B30" w:rsidRPr="00E04E05" w:rsidRDefault="001E4B30" w:rsidP="001E4B30">
    <w:pPr>
      <w:spacing w:line="384" w:lineRule="exact"/>
      <w:rPr>
        <w:rFonts w:cs="Arial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248982F" wp14:editId="7603133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6" name="Grafik 6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Pr="003E3158" w:rsidRDefault="001E4B30" w:rsidP="001E4B30">
    <w:pPr>
      <w:pStyle w:val="Kopfzeile"/>
    </w:pPr>
  </w:p>
  <w:p w:rsidR="008112E9" w:rsidRPr="001E4B30" w:rsidRDefault="008112E9" w:rsidP="001E4B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0" w:rsidRDefault="001E4B30" w:rsidP="001E4B30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1E4B30" w:rsidRPr="00E04E05" w:rsidRDefault="001E4B30" w:rsidP="001E4B30">
    <w:pPr>
      <w:spacing w:line="384" w:lineRule="exact"/>
      <w:rPr>
        <w:rFonts w:cs="Arial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F063F5C" wp14:editId="5DB9A6C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Grafik 4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Default="001E4B30" w:rsidP="001E4B30">
    <w:pPr>
      <w:pStyle w:val="Kopfzeile"/>
    </w:pPr>
  </w:p>
  <w:p w:rsidR="001E4B30" w:rsidRPr="003E3158" w:rsidRDefault="001E4B30" w:rsidP="001E4B30">
    <w:pPr>
      <w:pStyle w:val="Kopfzeile"/>
    </w:pPr>
  </w:p>
  <w:p w:rsidR="008112E9" w:rsidRPr="001E4B30" w:rsidRDefault="008112E9" w:rsidP="001E4B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22390"/>
    <w:rsid w:val="00030F4B"/>
    <w:rsid w:val="00042F34"/>
    <w:rsid w:val="00045DD6"/>
    <w:rsid w:val="00053C52"/>
    <w:rsid w:val="0005479C"/>
    <w:rsid w:val="00063A9A"/>
    <w:rsid w:val="00083160"/>
    <w:rsid w:val="00083A55"/>
    <w:rsid w:val="00091401"/>
    <w:rsid w:val="00094EE7"/>
    <w:rsid w:val="000D740E"/>
    <w:rsid w:val="001109F8"/>
    <w:rsid w:val="00126CA1"/>
    <w:rsid w:val="0015232C"/>
    <w:rsid w:val="0018137F"/>
    <w:rsid w:val="00194565"/>
    <w:rsid w:val="00195C77"/>
    <w:rsid w:val="001A5D22"/>
    <w:rsid w:val="001C0982"/>
    <w:rsid w:val="001D6214"/>
    <w:rsid w:val="001E4B30"/>
    <w:rsid w:val="001F1B2E"/>
    <w:rsid w:val="001F6AE1"/>
    <w:rsid w:val="00202B9B"/>
    <w:rsid w:val="00203C87"/>
    <w:rsid w:val="00216DFA"/>
    <w:rsid w:val="0022481A"/>
    <w:rsid w:val="00240AE7"/>
    <w:rsid w:val="002542F6"/>
    <w:rsid w:val="00284BD6"/>
    <w:rsid w:val="002E24F0"/>
    <w:rsid w:val="00306463"/>
    <w:rsid w:val="003105D2"/>
    <w:rsid w:val="00345A26"/>
    <w:rsid w:val="00346255"/>
    <w:rsid w:val="003750E9"/>
    <w:rsid w:val="003859E7"/>
    <w:rsid w:val="003929C8"/>
    <w:rsid w:val="00397040"/>
    <w:rsid w:val="003A1F88"/>
    <w:rsid w:val="003B1F13"/>
    <w:rsid w:val="003C2C77"/>
    <w:rsid w:val="003D3DCD"/>
    <w:rsid w:val="003E12D3"/>
    <w:rsid w:val="0042235A"/>
    <w:rsid w:val="00451296"/>
    <w:rsid w:val="00457294"/>
    <w:rsid w:val="00467777"/>
    <w:rsid w:val="00484FED"/>
    <w:rsid w:val="00486D45"/>
    <w:rsid w:val="00487932"/>
    <w:rsid w:val="00490418"/>
    <w:rsid w:val="004959F0"/>
    <w:rsid w:val="004A0B4B"/>
    <w:rsid w:val="004A0EE0"/>
    <w:rsid w:val="004D6B2D"/>
    <w:rsid w:val="004E25DA"/>
    <w:rsid w:val="004E4789"/>
    <w:rsid w:val="004F5322"/>
    <w:rsid w:val="004F5F17"/>
    <w:rsid w:val="00530CA9"/>
    <w:rsid w:val="0053129C"/>
    <w:rsid w:val="005522E7"/>
    <w:rsid w:val="00553518"/>
    <w:rsid w:val="00585B1D"/>
    <w:rsid w:val="005D5937"/>
    <w:rsid w:val="005E22BB"/>
    <w:rsid w:val="006008F9"/>
    <w:rsid w:val="00656D5F"/>
    <w:rsid w:val="00657EEE"/>
    <w:rsid w:val="0066069E"/>
    <w:rsid w:val="0067330A"/>
    <w:rsid w:val="00690D72"/>
    <w:rsid w:val="006C5747"/>
    <w:rsid w:val="006C59AD"/>
    <w:rsid w:val="006E4DC7"/>
    <w:rsid w:val="006E7D35"/>
    <w:rsid w:val="006F7577"/>
    <w:rsid w:val="00732B5C"/>
    <w:rsid w:val="00733BEB"/>
    <w:rsid w:val="007656D8"/>
    <w:rsid w:val="007759D1"/>
    <w:rsid w:val="007849D3"/>
    <w:rsid w:val="00785D32"/>
    <w:rsid w:val="00793E4D"/>
    <w:rsid w:val="007A29B1"/>
    <w:rsid w:val="007D2709"/>
    <w:rsid w:val="008112E9"/>
    <w:rsid w:val="00811C8B"/>
    <w:rsid w:val="008804E3"/>
    <w:rsid w:val="00890555"/>
    <w:rsid w:val="008B41BD"/>
    <w:rsid w:val="008B58EF"/>
    <w:rsid w:val="008C5D87"/>
    <w:rsid w:val="008C7368"/>
    <w:rsid w:val="008D089F"/>
    <w:rsid w:val="008E5D21"/>
    <w:rsid w:val="00904E32"/>
    <w:rsid w:val="009309E1"/>
    <w:rsid w:val="009A2519"/>
    <w:rsid w:val="009B1E9D"/>
    <w:rsid w:val="009B7422"/>
    <w:rsid w:val="009C3041"/>
    <w:rsid w:val="009D0753"/>
    <w:rsid w:val="009E06B3"/>
    <w:rsid w:val="00A20222"/>
    <w:rsid w:val="00A36471"/>
    <w:rsid w:val="00A41742"/>
    <w:rsid w:val="00A50710"/>
    <w:rsid w:val="00A70818"/>
    <w:rsid w:val="00A72259"/>
    <w:rsid w:val="00A80265"/>
    <w:rsid w:val="00AC3495"/>
    <w:rsid w:val="00AE07F9"/>
    <w:rsid w:val="00B069E5"/>
    <w:rsid w:val="00B071EF"/>
    <w:rsid w:val="00B149B1"/>
    <w:rsid w:val="00B558F1"/>
    <w:rsid w:val="00B86D1A"/>
    <w:rsid w:val="00BB45D4"/>
    <w:rsid w:val="00BC6665"/>
    <w:rsid w:val="00BD6CC3"/>
    <w:rsid w:val="00C436F7"/>
    <w:rsid w:val="00C53981"/>
    <w:rsid w:val="00C613B2"/>
    <w:rsid w:val="00C644C1"/>
    <w:rsid w:val="00CC3CDC"/>
    <w:rsid w:val="00CC4B34"/>
    <w:rsid w:val="00CD309C"/>
    <w:rsid w:val="00D066E0"/>
    <w:rsid w:val="00D12930"/>
    <w:rsid w:val="00D13411"/>
    <w:rsid w:val="00D31342"/>
    <w:rsid w:val="00D4499D"/>
    <w:rsid w:val="00D478D9"/>
    <w:rsid w:val="00D62652"/>
    <w:rsid w:val="00D627E5"/>
    <w:rsid w:val="00D8009F"/>
    <w:rsid w:val="00D83FE9"/>
    <w:rsid w:val="00DA7D79"/>
    <w:rsid w:val="00DB5741"/>
    <w:rsid w:val="00DF2537"/>
    <w:rsid w:val="00E00B71"/>
    <w:rsid w:val="00E14EA6"/>
    <w:rsid w:val="00E244EC"/>
    <w:rsid w:val="00E406DB"/>
    <w:rsid w:val="00E43A25"/>
    <w:rsid w:val="00E6361A"/>
    <w:rsid w:val="00E94D1B"/>
    <w:rsid w:val="00EE6817"/>
    <w:rsid w:val="00EF0940"/>
    <w:rsid w:val="00EF4F51"/>
    <w:rsid w:val="00F06BF6"/>
    <w:rsid w:val="00F40624"/>
    <w:rsid w:val="00F50BBD"/>
    <w:rsid w:val="00F632BA"/>
    <w:rsid w:val="00F843B6"/>
    <w:rsid w:val="00F9102B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69E5"/>
    <w:rPr>
      <w:b/>
      <w:bCs/>
    </w:rPr>
  </w:style>
  <w:style w:type="character" w:customStyle="1" w:styleId="KommentartextZchn">
    <w:name w:val="Kommentartext Zchn"/>
    <w:link w:val="Kommentartext"/>
    <w:semiHidden/>
    <w:rsid w:val="00B069E5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B069E5"/>
    <w:rPr>
      <w:rFonts w:ascii="Helvetica" w:hAnsi="Helvetica"/>
      <w:b/>
      <w:bCs/>
    </w:rPr>
  </w:style>
  <w:style w:type="character" w:customStyle="1" w:styleId="KopfzeileZchn">
    <w:name w:val="Kopfzeile Zchn"/>
    <w:link w:val="Kopfzeile"/>
    <w:uiPriority w:val="99"/>
    <w:rsid w:val="00063A9A"/>
    <w:rPr>
      <w:rFonts w:ascii="Helvetica" w:hAnsi="Helvetic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E4B30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E4B30"/>
    <w:rPr>
      <w:rFonts w:ascii="Arial" w:hAnsi="Arial"/>
      <w:bCs/>
      <w:color w:val="007FC3"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A7081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E25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69E5"/>
    <w:rPr>
      <w:b/>
      <w:bCs/>
    </w:rPr>
  </w:style>
  <w:style w:type="character" w:customStyle="1" w:styleId="KommentartextZchn">
    <w:name w:val="Kommentartext Zchn"/>
    <w:link w:val="Kommentartext"/>
    <w:semiHidden/>
    <w:rsid w:val="00B069E5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B069E5"/>
    <w:rPr>
      <w:rFonts w:ascii="Helvetica" w:hAnsi="Helvetica"/>
      <w:b/>
      <w:bCs/>
    </w:rPr>
  </w:style>
  <w:style w:type="character" w:customStyle="1" w:styleId="KopfzeileZchn">
    <w:name w:val="Kopfzeile Zchn"/>
    <w:link w:val="Kopfzeile"/>
    <w:uiPriority w:val="99"/>
    <w:rsid w:val="00063A9A"/>
    <w:rPr>
      <w:rFonts w:ascii="Helvetica" w:hAnsi="Helvetic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E4B30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E4B30"/>
    <w:rPr>
      <w:rFonts w:ascii="Arial" w:hAnsi="Arial"/>
      <w:bCs/>
      <w:color w:val="007FC3"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A7081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E25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422">
          <w:marLeft w:val="0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3932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8397003194d348a923b875e79048a6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03dbcfce1649bdb2d416fd794edbe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931AE3-0405-44C7-AE34-E76C5651E45C}"/>
</file>

<file path=customXml/itemProps2.xml><?xml version="1.0" encoding="utf-8"?>
<ds:datastoreItem xmlns:ds="http://schemas.openxmlformats.org/officeDocument/2006/customXml" ds:itemID="{74CB67D8-DDFD-4EAB-91DB-9C986DB4F2E6}"/>
</file>

<file path=customXml/itemProps3.xml><?xml version="1.0" encoding="utf-8"?>
<ds:datastoreItem xmlns:ds="http://schemas.openxmlformats.org/officeDocument/2006/customXml" ds:itemID="{FF6E0E69-A7F2-4AEB-8F0B-C0D49A7B4280}"/>
</file>

<file path=customXml/itemProps4.xml><?xml version="1.0" encoding="utf-8"?>
<ds:datastoreItem xmlns:ds="http://schemas.openxmlformats.org/officeDocument/2006/customXml" ds:itemID="{6DDFE557-0EE9-4257-9F4D-86531B27A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</vt:lpstr>
    </vt:vector>
  </TitlesOfParts>
  <Company>TOP MEDIA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Antje Stein</cp:lastModifiedBy>
  <cp:revision>5</cp:revision>
  <cp:lastPrinted>2015-01-19T07:42:00Z</cp:lastPrinted>
  <dcterms:created xsi:type="dcterms:W3CDTF">2015-02-27T14:39:00Z</dcterms:created>
  <dcterms:modified xsi:type="dcterms:W3CDTF">2015-03-23T09:31:00Z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