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3E" w:rsidRPr="00655F3F" w:rsidRDefault="00757A0D" w:rsidP="009F293E">
      <w:pPr>
        <w:spacing w:after="0" w:line="336" w:lineRule="exact"/>
        <w:rPr>
          <w:rFonts w:cs="Arial"/>
          <w:b/>
          <w:szCs w:val="20"/>
        </w:rPr>
      </w:pPr>
      <w:bookmarkStart w:id="0" w:name="Presseinformation"/>
      <w:bookmarkStart w:id="1" w:name="_GoBack"/>
      <w:bookmarkEnd w:id="0"/>
      <w:bookmarkEnd w:id="1"/>
      <w:r w:rsidRPr="009F293E">
        <w:rPr>
          <w:rStyle w:val="TitelZchn"/>
        </w:rPr>
        <w:t>PRESSEINFORMATION</w:t>
      </w:r>
    </w:p>
    <w:p w:rsidR="009F293E" w:rsidRDefault="009F293E" w:rsidP="000B2341">
      <w:bookmarkStart w:id="2" w:name="Überschrift"/>
      <w:bookmarkEnd w:id="2"/>
    </w:p>
    <w:p w:rsidR="000B2341" w:rsidRDefault="000B2341" w:rsidP="000B2341"/>
    <w:p w:rsidR="00A86CC9" w:rsidRDefault="00A86CC9" w:rsidP="000B2341"/>
    <w:p w:rsidR="00757A0D" w:rsidRPr="009F293E" w:rsidRDefault="00F92958" w:rsidP="008C7A9B">
      <w:pPr>
        <w:pStyle w:val="berschrift1"/>
      </w:pPr>
      <w:r w:rsidRPr="009F293E">
        <w:t>Milliarden-Marke geknackt</w:t>
      </w:r>
    </w:p>
    <w:p w:rsidR="00C524C1" w:rsidRDefault="001636D8" w:rsidP="00C524C1">
      <w:pPr>
        <w:pStyle w:val="berschrift3"/>
      </w:pPr>
      <w:r w:rsidRPr="000B2341">
        <w:t>SICK wächst erneut bei Umsatz und Ergebnis</w:t>
      </w:r>
    </w:p>
    <w:p w:rsidR="00C524C1" w:rsidRDefault="00C524C1" w:rsidP="00D76B4C"/>
    <w:p w:rsidR="00757A0D" w:rsidRPr="001636D8" w:rsidRDefault="00F92958" w:rsidP="000B2341">
      <w:pPr>
        <w:pStyle w:val="berschrift2"/>
      </w:pPr>
      <w:bookmarkStart w:id="3" w:name="Text"/>
      <w:bookmarkEnd w:id="3"/>
      <w:r w:rsidRPr="001636D8">
        <w:t>Waldkirch, 8. April 2014 – Der SICK-Konzern hat sich im Jahr 2013 in einem anspruchsvollen Marktumfeld behauptet und ist weiter gewachsen. Der Umsatz stieg um 3,9 Prozent gegenüber dem Vorjahr und übertraf zum ersten Mal die Milliarden-Marke, das EBIT wuchs um 6,8 Prozent – ein großer Erfolg angesichts der starken Belastung durch Währungseffekte und der Investitionszurückhaltung in wichtigen Absatzmärkten.</w:t>
      </w:r>
    </w:p>
    <w:p w:rsidR="00BC0C2F" w:rsidRDefault="00BC0C2F" w:rsidP="00BC0C2F">
      <w:pPr>
        <w:rPr>
          <w:rFonts w:cs="Arial"/>
          <w:szCs w:val="20"/>
        </w:rPr>
      </w:pPr>
    </w:p>
    <w:p w:rsidR="001636D8" w:rsidRDefault="001636D8" w:rsidP="00D76B4C">
      <w:r>
        <w:t>Auch in wirtschaftlich schwierigen Zeiten setzt der SICK-Konzern seinen Wachstumskurs fort. Im vergangenen Geschäftsjahr erzielte der Sensorhersteller einen Umsatz von 1.009,5 Mio. Euro und damit ein Plus von 3,9 Prozent. Der Auftragseingang wuchs um 1,6 Prozent auf 1.010,6 Mio. Euro. „Vor allem die Region Nord-, Mittel- und Südamerika hat sich positiv entwickelt. Zudem hat sich unsere Strategie, frühzeitig in Wachstumsregionen wie Asien, Brasilien oder auch Osteuropa präsent zu sein, erneut ausgezahlt“, sagte Vorstandsvorsitzender Dr. Robert Bauer bei der Veröffentlichung der Bilanzkennzahlen am Dienstag. Kräftig gewachsen ist dabei unter anderem das Geschäft mit Umweltmesstechnik in China und mit großen Logistikprojekten in den USA. Gleichzeitig schmälerte die Schwäche insbesondere des US-Dollars, des japanischen Yens und weiterer Währungen gegenüber dem Euro das weltweite Umsatzwachstum erheblich. Zudem kam aus dem Heimatmarkt Deutschland, wo der SICK-Konzern fast ein Viertel seines Umsatzes erwirtschaftet, kein Wachstumsimpuls.</w:t>
      </w:r>
    </w:p>
    <w:p w:rsidR="001636D8" w:rsidRDefault="001636D8" w:rsidP="001636D8"/>
    <w:p w:rsidR="001636D8" w:rsidRPr="001636D8" w:rsidRDefault="001636D8" w:rsidP="001636D8">
      <w:pPr>
        <w:pStyle w:val="berschrift2"/>
      </w:pPr>
      <w:r w:rsidRPr="001636D8">
        <w:t>Überproportionales Wachstum beim Ergebnis</w:t>
      </w:r>
    </w:p>
    <w:p w:rsidR="001636D8" w:rsidRDefault="001636D8" w:rsidP="001636D8">
      <w:r>
        <w:t xml:space="preserve">Das Ergebnis vor Zinsen und Steuern (EBIT) hat sich gegenüber 2012 stärker verbessert als der Umsatz: Aufgrund des intensiven Kostenmanagements erhöhte es sich von 82,7 auf 88,3 Mio. Euro (+6,8 Prozent). Die EBIT-Marge belief sich folglich auf 8,7 Prozent. Das Jahresergebnis in Höhe von 59,2 Mio. Euro übertraf den Vorjahreswert um 1,2 Prozent, was vor allem auf eine höhere Steuerquote zurückzuführen ist. Die Netto-Umsatzrendite betrug 5,9 Prozent. </w:t>
      </w:r>
    </w:p>
    <w:p w:rsidR="00D76B4C" w:rsidRDefault="00D76B4C" w:rsidP="00D76B4C"/>
    <w:p w:rsidR="001636D8" w:rsidRPr="001636D8" w:rsidRDefault="001636D8" w:rsidP="001636D8">
      <w:pPr>
        <w:pStyle w:val="berschrift2"/>
      </w:pPr>
      <w:r w:rsidRPr="001636D8">
        <w:t>Investitionen in Kompetenz und Produktionstechnologie</w:t>
      </w:r>
    </w:p>
    <w:p w:rsidR="001636D8" w:rsidRDefault="001636D8" w:rsidP="001636D8">
      <w:r>
        <w:t xml:space="preserve">Die gute Umsatzentwicklung wirkte sich auch auf die Mitarbeiteranzahl aus. Der SICK-Konzern beschäftigte zum Ende des Jahres 6.597 Mitarbeiter und damit 295 mehr als im Vorjahr(+4,7 Prozent). </w:t>
      </w:r>
      <w:r>
        <w:lastRenderedPageBreak/>
        <w:t>Der Kompetenzaufbau fand vor allem im Bereich Forschung &amp; Entwicklung sowie im weltweiten Vertrieb und Service statt. Im Inland hat sich die Mitarbeiterzahl um 4,0 Prozent erhöht; im Ausland beschäftigte der SICK-Konzern zum Jahresende 5,7 Prozent mehr Mitarbeiter. Insbesondere in der Region Nord-, Mittel- und Südamerika wurde Personal aufgebaut, da unter anderem ein Distributor für SICK-Sicherheitstechnik in Brasilien übernommen wurde. Darüber hinaus hat SICK verstärkt in den Bau neuer Fertigungsstätten im Inland investiert: An zahlreichen deutschen Standorten wurden neue Produktionsgebäude errichtet und es wurde in neue Entwicklungs- und Fertigungstechnologien investiert, um die Wettbewerbsfähigkeit auszubauen und die Position im Markt zu stärken. Zudem wurde auch das Portfolio an intelligenten Lösungen in Form von Produkten, Systemen und Dienstleistungen erweitert und es wurden 102,3 Mio. Euro in Forschung &amp; Entwicklung investiert. Dies entspricht 10,1 Prozent des Umsatzes.</w:t>
      </w:r>
    </w:p>
    <w:p w:rsidR="00D76B4C" w:rsidRDefault="00D76B4C" w:rsidP="001636D8"/>
    <w:p w:rsidR="001636D8" w:rsidRPr="001636D8" w:rsidRDefault="001636D8" w:rsidP="00C524C1">
      <w:pPr>
        <w:pStyle w:val="berschrift2"/>
      </w:pPr>
      <w:r w:rsidRPr="001636D8">
        <w:t>Optimistischer Ausblick</w:t>
      </w:r>
    </w:p>
    <w:p w:rsidR="00BC2C4C" w:rsidRDefault="001636D8" w:rsidP="001636D8">
      <w:r>
        <w:t>Die Prognose für das kommende Jahr fällt entsprechend positiv aus: „Ich bin zuversichtlich, dass wir unseren Umsatz im Geschäftsjahr 2014 mit einer höheren Steigerungsrate ausbauen können, da wir vor allem in Deutschland und im europäischen Ausland mit einer Belebung der Nachfrage rechnen, insbes</w:t>
      </w:r>
      <w:r w:rsidR="00215860">
        <w:t>ondere mit Blick auf das zweite</w:t>
      </w:r>
      <w:r>
        <w:t xml:space="preserve"> Halbjahr. Wir sind bestens vorbereitet, die sich daraus ergebenden Marktchancen zu nutzen“, so Dr. Robert Bauer.</w:t>
      </w:r>
    </w:p>
    <w:p w:rsidR="00C524C1" w:rsidRPr="001636D8" w:rsidRDefault="00C524C1" w:rsidP="001636D8">
      <w:pPr>
        <w:rPr>
          <w:rFonts w:cs="Arial"/>
        </w:rPr>
      </w:pPr>
      <w:bookmarkStart w:id="4" w:name="Fußnote"/>
      <w:bookmarkEnd w:id="4"/>
    </w:p>
    <w:p w:rsidR="001D4523" w:rsidRPr="001D4523" w:rsidRDefault="001636D8" w:rsidP="00D76B4C">
      <w:pPr>
        <w:pStyle w:val="berschrift2"/>
      </w:pPr>
      <w:r w:rsidRPr="001D4523">
        <w:t>Die wichtigsten Kennzahlen dieser Mitteilung im Überblick:</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1418"/>
        <w:gridCol w:w="1417"/>
        <w:gridCol w:w="2268"/>
      </w:tblGrid>
      <w:tr w:rsidR="001636D8" w:rsidRPr="001636D8" w:rsidTr="000B2341">
        <w:trPr>
          <w:trHeight w:val="416"/>
        </w:trPr>
        <w:tc>
          <w:tcPr>
            <w:tcW w:w="4181" w:type="dxa"/>
            <w:shd w:val="clear" w:color="auto" w:fill="007FC3"/>
            <w:vAlign w:val="center"/>
          </w:tcPr>
          <w:p w:rsidR="001636D8" w:rsidRPr="000B2341" w:rsidRDefault="001636D8" w:rsidP="000B2341">
            <w:pPr>
              <w:spacing w:after="0"/>
              <w:rPr>
                <w:rFonts w:cs="Arial"/>
                <w:b/>
                <w:color w:val="FFFFFF" w:themeColor="background1"/>
              </w:rPr>
            </w:pPr>
            <w:r w:rsidRPr="000B2341">
              <w:rPr>
                <w:rFonts w:cs="Arial"/>
                <w:b/>
                <w:color w:val="FFFFFF" w:themeColor="background1"/>
              </w:rPr>
              <w:t>SICK-Konzern (IFRS)</w:t>
            </w:r>
          </w:p>
        </w:tc>
        <w:tc>
          <w:tcPr>
            <w:tcW w:w="1418" w:type="dxa"/>
            <w:shd w:val="clear" w:color="auto" w:fill="007FC3"/>
            <w:vAlign w:val="center"/>
          </w:tcPr>
          <w:p w:rsidR="001636D8" w:rsidRPr="000B2341" w:rsidRDefault="001636D8" w:rsidP="000B2341">
            <w:pPr>
              <w:spacing w:after="0"/>
              <w:jc w:val="right"/>
              <w:rPr>
                <w:rFonts w:cs="Arial"/>
                <w:b/>
                <w:color w:val="FFFFFF" w:themeColor="background1"/>
              </w:rPr>
            </w:pPr>
            <w:r w:rsidRPr="000B2341">
              <w:rPr>
                <w:rFonts w:cs="Arial"/>
                <w:b/>
                <w:color w:val="FFFFFF" w:themeColor="background1"/>
              </w:rPr>
              <w:t>2012*</w:t>
            </w:r>
          </w:p>
        </w:tc>
        <w:tc>
          <w:tcPr>
            <w:tcW w:w="1417" w:type="dxa"/>
            <w:shd w:val="clear" w:color="auto" w:fill="007FC3"/>
            <w:vAlign w:val="center"/>
          </w:tcPr>
          <w:p w:rsidR="001636D8" w:rsidRPr="000B2341" w:rsidRDefault="001636D8" w:rsidP="000B2341">
            <w:pPr>
              <w:spacing w:after="0"/>
              <w:jc w:val="right"/>
              <w:rPr>
                <w:rFonts w:cs="Arial"/>
                <w:b/>
                <w:color w:val="FFFFFF" w:themeColor="background1"/>
              </w:rPr>
            </w:pPr>
            <w:r w:rsidRPr="000B2341">
              <w:rPr>
                <w:rFonts w:cs="Arial"/>
                <w:b/>
                <w:color w:val="FFFFFF" w:themeColor="background1"/>
              </w:rPr>
              <w:t>2013</w:t>
            </w:r>
          </w:p>
        </w:tc>
        <w:tc>
          <w:tcPr>
            <w:tcW w:w="2268" w:type="dxa"/>
            <w:shd w:val="clear" w:color="auto" w:fill="007FC3"/>
            <w:vAlign w:val="center"/>
          </w:tcPr>
          <w:p w:rsidR="001636D8" w:rsidRPr="000B2341" w:rsidRDefault="001636D8" w:rsidP="000B2341">
            <w:pPr>
              <w:spacing w:after="0"/>
              <w:jc w:val="right"/>
              <w:rPr>
                <w:rFonts w:cs="Arial"/>
                <w:b/>
                <w:color w:val="FFFFFF" w:themeColor="background1"/>
              </w:rPr>
            </w:pPr>
            <w:r w:rsidRPr="000B2341">
              <w:rPr>
                <w:rFonts w:cs="Arial"/>
                <w:b/>
                <w:color w:val="FFFFFF" w:themeColor="background1"/>
              </w:rPr>
              <w:t>Veränderung in %</w:t>
            </w:r>
          </w:p>
        </w:tc>
      </w:tr>
      <w:tr w:rsidR="001636D8" w:rsidRPr="001636D8" w:rsidTr="00A86CC9">
        <w:trPr>
          <w:trHeight w:hRule="exact" w:val="454"/>
        </w:trPr>
        <w:tc>
          <w:tcPr>
            <w:tcW w:w="4181" w:type="dxa"/>
            <w:vAlign w:val="center"/>
          </w:tcPr>
          <w:p w:rsidR="001636D8" w:rsidRPr="000B2341" w:rsidRDefault="001636D8" w:rsidP="000B2341">
            <w:pPr>
              <w:spacing w:before="120"/>
              <w:rPr>
                <w:rFonts w:cs="Arial"/>
              </w:rPr>
            </w:pPr>
            <w:r w:rsidRPr="000B2341">
              <w:rPr>
                <w:rFonts w:cs="Arial"/>
              </w:rPr>
              <w:t>Auftragseingang (in Mio. EUR)</w:t>
            </w:r>
          </w:p>
        </w:tc>
        <w:tc>
          <w:tcPr>
            <w:tcW w:w="1418" w:type="dxa"/>
            <w:vAlign w:val="center"/>
          </w:tcPr>
          <w:p w:rsidR="001636D8" w:rsidRPr="000B2341" w:rsidRDefault="001636D8" w:rsidP="000B2341">
            <w:pPr>
              <w:spacing w:before="120"/>
              <w:jc w:val="right"/>
              <w:rPr>
                <w:rFonts w:cs="Arial"/>
              </w:rPr>
            </w:pPr>
            <w:r w:rsidRPr="000B2341">
              <w:rPr>
                <w:rFonts w:cs="Arial"/>
              </w:rPr>
              <w:t>994,9</w:t>
            </w:r>
          </w:p>
        </w:tc>
        <w:tc>
          <w:tcPr>
            <w:tcW w:w="1417" w:type="dxa"/>
            <w:vAlign w:val="center"/>
          </w:tcPr>
          <w:p w:rsidR="001636D8" w:rsidRPr="000B2341" w:rsidRDefault="001636D8" w:rsidP="000B2341">
            <w:pPr>
              <w:spacing w:before="120"/>
              <w:jc w:val="right"/>
              <w:rPr>
                <w:rFonts w:cs="Arial"/>
              </w:rPr>
            </w:pPr>
            <w:r w:rsidRPr="000B2341">
              <w:rPr>
                <w:rFonts w:cs="Arial"/>
              </w:rPr>
              <w:t>1.010,6</w:t>
            </w:r>
          </w:p>
        </w:tc>
        <w:tc>
          <w:tcPr>
            <w:tcW w:w="2268" w:type="dxa"/>
            <w:vAlign w:val="center"/>
          </w:tcPr>
          <w:p w:rsidR="001636D8" w:rsidRPr="000B2341" w:rsidRDefault="001636D8" w:rsidP="000B2341">
            <w:pPr>
              <w:spacing w:before="120"/>
              <w:jc w:val="right"/>
              <w:rPr>
                <w:rFonts w:cs="Arial"/>
              </w:rPr>
            </w:pPr>
            <w:r w:rsidRPr="000B2341">
              <w:rPr>
                <w:rFonts w:cs="Arial"/>
              </w:rPr>
              <w:t>1,6</w:t>
            </w:r>
          </w:p>
        </w:tc>
      </w:tr>
      <w:tr w:rsidR="001636D8" w:rsidRPr="001636D8" w:rsidTr="00A86CC9">
        <w:trPr>
          <w:trHeight w:hRule="exact" w:val="454"/>
        </w:trPr>
        <w:tc>
          <w:tcPr>
            <w:tcW w:w="4181" w:type="dxa"/>
            <w:vAlign w:val="center"/>
          </w:tcPr>
          <w:p w:rsidR="001636D8" w:rsidRPr="000B2341" w:rsidRDefault="001636D8" w:rsidP="000B2341">
            <w:pPr>
              <w:spacing w:before="120"/>
              <w:rPr>
                <w:rFonts w:cs="Arial"/>
              </w:rPr>
            </w:pPr>
            <w:r w:rsidRPr="000B2341">
              <w:rPr>
                <w:rFonts w:cs="Arial"/>
              </w:rPr>
              <w:t>Umsatz (in Mio. EUR)</w:t>
            </w:r>
          </w:p>
        </w:tc>
        <w:tc>
          <w:tcPr>
            <w:tcW w:w="1418" w:type="dxa"/>
            <w:vAlign w:val="center"/>
          </w:tcPr>
          <w:p w:rsidR="001636D8" w:rsidRPr="000B2341" w:rsidRDefault="001636D8" w:rsidP="000B2341">
            <w:pPr>
              <w:spacing w:before="120"/>
              <w:jc w:val="right"/>
              <w:rPr>
                <w:rFonts w:cs="Arial"/>
              </w:rPr>
            </w:pPr>
            <w:r w:rsidRPr="000B2341">
              <w:rPr>
                <w:rFonts w:cs="Arial"/>
              </w:rPr>
              <w:t>971,3</w:t>
            </w:r>
          </w:p>
        </w:tc>
        <w:tc>
          <w:tcPr>
            <w:tcW w:w="1417" w:type="dxa"/>
            <w:vAlign w:val="center"/>
          </w:tcPr>
          <w:p w:rsidR="001636D8" w:rsidRPr="000B2341" w:rsidRDefault="001636D8" w:rsidP="000B2341">
            <w:pPr>
              <w:spacing w:before="120"/>
              <w:jc w:val="right"/>
              <w:rPr>
                <w:rFonts w:cs="Arial"/>
              </w:rPr>
            </w:pPr>
            <w:r w:rsidRPr="000B2341">
              <w:rPr>
                <w:rFonts w:cs="Arial"/>
              </w:rPr>
              <w:t>1.009,5</w:t>
            </w:r>
          </w:p>
        </w:tc>
        <w:tc>
          <w:tcPr>
            <w:tcW w:w="2268" w:type="dxa"/>
            <w:vAlign w:val="center"/>
          </w:tcPr>
          <w:p w:rsidR="001636D8" w:rsidRPr="000B2341" w:rsidRDefault="001636D8" w:rsidP="000B2341">
            <w:pPr>
              <w:spacing w:before="120"/>
              <w:jc w:val="right"/>
              <w:rPr>
                <w:rFonts w:cs="Arial"/>
              </w:rPr>
            </w:pPr>
            <w:r w:rsidRPr="000B2341">
              <w:rPr>
                <w:rFonts w:cs="Arial"/>
              </w:rPr>
              <w:t>3,9</w:t>
            </w:r>
          </w:p>
        </w:tc>
      </w:tr>
      <w:tr w:rsidR="001636D8" w:rsidRPr="001636D8" w:rsidTr="00A86CC9">
        <w:trPr>
          <w:trHeight w:hRule="exact" w:val="454"/>
        </w:trPr>
        <w:tc>
          <w:tcPr>
            <w:tcW w:w="4181" w:type="dxa"/>
            <w:vAlign w:val="center"/>
          </w:tcPr>
          <w:p w:rsidR="001636D8" w:rsidRPr="000B2341" w:rsidRDefault="001636D8" w:rsidP="000B2341">
            <w:pPr>
              <w:spacing w:before="120"/>
              <w:rPr>
                <w:rFonts w:cs="Arial"/>
              </w:rPr>
            </w:pPr>
            <w:r w:rsidRPr="000B2341">
              <w:rPr>
                <w:rFonts w:cs="Arial"/>
              </w:rPr>
              <w:t>EBIT (in Mio. EUR)</w:t>
            </w:r>
          </w:p>
        </w:tc>
        <w:tc>
          <w:tcPr>
            <w:tcW w:w="1418" w:type="dxa"/>
            <w:vAlign w:val="center"/>
          </w:tcPr>
          <w:p w:rsidR="001636D8" w:rsidRPr="000B2341" w:rsidRDefault="001636D8" w:rsidP="000B2341">
            <w:pPr>
              <w:spacing w:before="120"/>
              <w:jc w:val="right"/>
              <w:rPr>
                <w:rFonts w:cs="Arial"/>
              </w:rPr>
            </w:pPr>
            <w:r w:rsidRPr="000B2341">
              <w:rPr>
                <w:rFonts w:cs="Arial"/>
              </w:rPr>
              <w:t>82,7</w:t>
            </w:r>
          </w:p>
        </w:tc>
        <w:tc>
          <w:tcPr>
            <w:tcW w:w="1417" w:type="dxa"/>
            <w:vAlign w:val="center"/>
          </w:tcPr>
          <w:p w:rsidR="001636D8" w:rsidRPr="000B2341" w:rsidRDefault="001636D8" w:rsidP="000B2341">
            <w:pPr>
              <w:spacing w:before="120"/>
              <w:jc w:val="right"/>
              <w:rPr>
                <w:rFonts w:cs="Arial"/>
              </w:rPr>
            </w:pPr>
            <w:r w:rsidRPr="000B2341">
              <w:rPr>
                <w:rFonts w:cs="Arial"/>
              </w:rPr>
              <w:t>88,3</w:t>
            </w:r>
          </w:p>
        </w:tc>
        <w:tc>
          <w:tcPr>
            <w:tcW w:w="2268" w:type="dxa"/>
            <w:vAlign w:val="center"/>
          </w:tcPr>
          <w:p w:rsidR="001636D8" w:rsidRPr="000B2341" w:rsidRDefault="001636D8" w:rsidP="000B2341">
            <w:pPr>
              <w:spacing w:before="120"/>
              <w:jc w:val="right"/>
              <w:rPr>
                <w:rFonts w:cs="Arial"/>
              </w:rPr>
            </w:pPr>
            <w:r w:rsidRPr="000B2341">
              <w:rPr>
                <w:rFonts w:cs="Arial"/>
              </w:rPr>
              <w:t>6,8</w:t>
            </w:r>
          </w:p>
        </w:tc>
      </w:tr>
      <w:tr w:rsidR="001636D8" w:rsidRPr="001636D8" w:rsidTr="00A86CC9">
        <w:trPr>
          <w:trHeight w:hRule="exact" w:val="454"/>
        </w:trPr>
        <w:tc>
          <w:tcPr>
            <w:tcW w:w="4181" w:type="dxa"/>
            <w:vAlign w:val="center"/>
          </w:tcPr>
          <w:p w:rsidR="001636D8" w:rsidRPr="000B2341" w:rsidRDefault="001636D8" w:rsidP="000B2341">
            <w:pPr>
              <w:spacing w:before="120"/>
              <w:rPr>
                <w:rFonts w:cs="Arial"/>
              </w:rPr>
            </w:pPr>
            <w:r w:rsidRPr="000B2341">
              <w:rPr>
                <w:rFonts w:cs="Arial"/>
              </w:rPr>
              <w:t>Jahresergebnis (in Mio. EUR)</w:t>
            </w:r>
          </w:p>
        </w:tc>
        <w:tc>
          <w:tcPr>
            <w:tcW w:w="1418" w:type="dxa"/>
            <w:vAlign w:val="center"/>
          </w:tcPr>
          <w:p w:rsidR="001636D8" w:rsidRPr="000B2341" w:rsidRDefault="001636D8" w:rsidP="000B2341">
            <w:pPr>
              <w:spacing w:before="120"/>
              <w:jc w:val="right"/>
              <w:rPr>
                <w:rFonts w:cs="Arial"/>
              </w:rPr>
            </w:pPr>
            <w:r w:rsidRPr="000B2341">
              <w:rPr>
                <w:rFonts w:cs="Arial"/>
              </w:rPr>
              <w:t>58,5</w:t>
            </w:r>
          </w:p>
        </w:tc>
        <w:tc>
          <w:tcPr>
            <w:tcW w:w="1417" w:type="dxa"/>
            <w:vAlign w:val="center"/>
          </w:tcPr>
          <w:p w:rsidR="001636D8" w:rsidRPr="000B2341" w:rsidRDefault="001636D8" w:rsidP="000B2341">
            <w:pPr>
              <w:spacing w:before="120"/>
              <w:jc w:val="right"/>
              <w:rPr>
                <w:rFonts w:cs="Arial"/>
              </w:rPr>
            </w:pPr>
            <w:r w:rsidRPr="000B2341">
              <w:rPr>
                <w:rFonts w:cs="Arial"/>
              </w:rPr>
              <w:t>59,2</w:t>
            </w:r>
          </w:p>
        </w:tc>
        <w:tc>
          <w:tcPr>
            <w:tcW w:w="2268" w:type="dxa"/>
            <w:vAlign w:val="center"/>
          </w:tcPr>
          <w:p w:rsidR="001636D8" w:rsidRPr="000B2341" w:rsidRDefault="001636D8" w:rsidP="000B2341">
            <w:pPr>
              <w:spacing w:before="120"/>
              <w:jc w:val="right"/>
              <w:rPr>
                <w:rFonts w:cs="Arial"/>
              </w:rPr>
            </w:pPr>
            <w:r w:rsidRPr="000B2341">
              <w:rPr>
                <w:rFonts w:cs="Arial"/>
              </w:rPr>
              <w:t>1,2</w:t>
            </w:r>
          </w:p>
        </w:tc>
      </w:tr>
      <w:tr w:rsidR="001636D8" w:rsidRPr="001636D8" w:rsidTr="00A86CC9">
        <w:trPr>
          <w:trHeight w:hRule="exact" w:val="454"/>
        </w:trPr>
        <w:tc>
          <w:tcPr>
            <w:tcW w:w="4181" w:type="dxa"/>
            <w:vAlign w:val="center"/>
          </w:tcPr>
          <w:p w:rsidR="001636D8" w:rsidRPr="000B2341" w:rsidRDefault="001636D8" w:rsidP="000B2341">
            <w:pPr>
              <w:spacing w:before="120"/>
              <w:rPr>
                <w:rFonts w:cs="Arial"/>
              </w:rPr>
            </w:pPr>
            <w:r w:rsidRPr="000B2341">
              <w:rPr>
                <w:rFonts w:cs="Arial"/>
              </w:rPr>
              <w:t>F&amp;E-Aufwand (in Mio. EUR)</w:t>
            </w:r>
          </w:p>
        </w:tc>
        <w:tc>
          <w:tcPr>
            <w:tcW w:w="1418" w:type="dxa"/>
            <w:vAlign w:val="center"/>
          </w:tcPr>
          <w:p w:rsidR="001636D8" w:rsidRPr="000B2341" w:rsidRDefault="001636D8" w:rsidP="000B2341">
            <w:pPr>
              <w:spacing w:before="120"/>
              <w:jc w:val="right"/>
              <w:rPr>
                <w:rFonts w:cs="Arial"/>
              </w:rPr>
            </w:pPr>
            <w:r w:rsidRPr="000B2341">
              <w:rPr>
                <w:rFonts w:cs="Arial"/>
              </w:rPr>
              <w:t>93,5</w:t>
            </w:r>
          </w:p>
        </w:tc>
        <w:tc>
          <w:tcPr>
            <w:tcW w:w="1417" w:type="dxa"/>
            <w:vAlign w:val="center"/>
          </w:tcPr>
          <w:p w:rsidR="001636D8" w:rsidRPr="000B2341" w:rsidRDefault="001636D8" w:rsidP="000B2341">
            <w:pPr>
              <w:spacing w:before="120"/>
              <w:jc w:val="right"/>
              <w:rPr>
                <w:rFonts w:cs="Arial"/>
              </w:rPr>
            </w:pPr>
            <w:r w:rsidRPr="000B2341">
              <w:rPr>
                <w:rFonts w:cs="Arial"/>
              </w:rPr>
              <w:t>102,3</w:t>
            </w:r>
          </w:p>
        </w:tc>
        <w:tc>
          <w:tcPr>
            <w:tcW w:w="2268" w:type="dxa"/>
            <w:vAlign w:val="center"/>
          </w:tcPr>
          <w:p w:rsidR="001636D8" w:rsidRPr="000B2341" w:rsidRDefault="001636D8" w:rsidP="000B2341">
            <w:pPr>
              <w:spacing w:before="120"/>
              <w:jc w:val="right"/>
              <w:rPr>
                <w:rFonts w:cs="Arial"/>
              </w:rPr>
            </w:pPr>
            <w:r w:rsidRPr="000B2341">
              <w:rPr>
                <w:rFonts w:cs="Arial"/>
              </w:rPr>
              <w:t>9,4</w:t>
            </w:r>
          </w:p>
        </w:tc>
      </w:tr>
      <w:tr w:rsidR="001636D8" w:rsidRPr="001636D8" w:rsidTr="00A86CC9">
        <w:trPr>
          <w:trHeight w:hRule="exact" w:val="454"/>
        </w:trPr>
        <w:tc>
          <w:tcPr>
            <w:tcW w:w="4181" w:type="dxa"/>
            <w:vAlign w:val="center"/>
          </w:tcPr>
          <w:p w:rsidR="001636D8" w:rsidRPr="000B2341" w:rsidRDefault="001636D8" w:rsidP="000B2341">
            <w:pPr>
              <w:spacing w:before="120"/>
              <w:rPr>
                <w:rFonts w:cs="Arial"/>
              </w:rPr>
            </w:pPr>
            <w:r w:rsidRPr="000B2341">
              <w:rPr>
                <w:rFonts w:cs="Arial"/>
              </w:rPr>
              <w:t>Mitarbeiter zum Jahresende</w:t>
            </w:r>
          </w:p>
        </w:tc>
        <w:tc>
          <w:tcPr>
            <w:tcW w:w="1418" w:type="dxa"/>
            <w:vAlign w:val="center"/>
          </w:tcPr>
          <w:p w:rsidR="001636D8" w:rsidRPr="000B2341" w:rsidRDefault="001636D8" w:rsidP="000B2341">
            <w:pPr>
              <w:spacing w:before="120"/>
              <w:jc w:val="right"/>
              <w:rPr>
                <w:rFonts w:cs="Arial"/>
              </w:rPr>
            </w:pPr>
            <w:r w:rsidRPr="000B2341">
              <w:rPr>
                <w:rFonts w:cs="Arial"/>
              </w:rPr>
              <w:t>6.302</w:t>
            </w:r>
          </w:p>
        </w:tc>
        <w:tc>
          <w:tcPr>
            <w:tcW w:w="1417" w:type="dxa"/>
            <w:vAlign w:val="center"/>
          </w:tcPr>
          <w:p w:rsidR="001636D8" w:rsidRPr="000B2341" w:rsidRDefault="001636D8" w:rsidP="000B2341">
            <w:pPr>
              <w:spacing w:before="120"/>
              <w:jc w:val="right"/>
              <w:rPr>
                <w:rFonts w:cs="Arial"/>
              </w:rPr>
            </w:pPr>
            <w:r w:rsidRPr="000B2341">
              <w:rPr>
                <w:rFonts w:cs="Arial"/>
              </w:rPr>
              <w:t>6.597</w:t>
            </w:r>
          </w:p>
        </w:tc>
        <w:tc>
          <w:tcPr>
            <w:tcW w:w="2268" w:type="dxa"/>
            <w:vAlign w:val="center"/>
          </w:tcPr>
          <w:p w:rsidR="001636D8" w:rsidRPr="000B2341" w:rsidRDefault="001636D8" w:rsidP="000B2341">
            <w:pPr>
              <w:spacing w:before="120"/>
              <w:jc w:val="right"/>
              <w:rPr>
                <w:rFonts w:cs="Arial"/>
              </w:rPr>
            </w:pPr>
            <w:r w:rsidRPr="000B2341">
              <w:rPr>
                <w:rFonts w:cs="Arial"/>
              </w:rPr>
              <w:t>4,7</w:t>
            </w:r>
          </w:p>
        </w:tc>
      </w:tr>
    </w:tbl>
    <w:p w:rsidR="001636D8" w:rsidRPr="009F293E" w:rsidRDefault="001636D8" w:rsidP="001636D8">
      <w:pPr>
        <w:rPr>
          <w:rFonts w:cs="Arial"/>
          <w:i/>
          <w:sz w:val="16"/>
          <w:szCs w:val="16"/>
        </w:rPr>
      </w:pPr>
      <w:r w:rsidRPr="009F293E">
        <w:rPr>
          <w:rFonts w:cs="Arial"/>
          <w:i/>
          <w:sz w:val="16"/>
          <w:szCs w:val="16"/>
        </w:rPr>
        <w:t>* angepasst unter Anwendung von IAS 19 revised</w:t>
      </w:r>
    </w:p>
    <w:p w:rsidR="001636D8" w:rsidRPr="001636D8" w:rsidRDefault="001636D8" w:rsidP="001636D8">
      <w:pPr>
        <w:rPr>
          <w:rFonts w:cs="Arial"/>
        </w:rPr>
      </w:pPr>
    </w:p>
    <w:p w:rsidR="001D4523" w:rsidRPr="00C524C1" w:rsidRDefault="001D4523" w:rsidP="001D4523">
      <w:pPr>
        <w:rPr>
          <w:rFonts w:cs="Arial"/>
          <w:color w:val="007FC3"/>
          <w:szCs w:val="20"/>
        </w:rPr>
      </w:pPr>
      <w:r w:rsidRPr="00C524C1">
        <w:rPr>
          <w:rFonts w:cs="Arial"/>
          <w:color w:val="007FC3"/>
          <w:szCs w:val="20"/>
        </w:rPr>
        <w:t xml:space="preserve">Weitere Informationen zu SICK erhalten Sie im Internet unter </w:t>
      </w:r>
      <w:hyperlink r:id="rId12" w:history="1">
        <w:r w:rsidRPr="00C524C1">
          <w:rPr>
            <w:rStyle w:val="Hyperlink"/>
            <w:rFonts w:cs="Arial"/>
            <w:color w:val="007FC3"/>
            <w:szCs w:val="20"/>
            <w:u w:val="none"/>
          </w:rPr>
          <w:t>http://www.sick.com</w:t>
        </w:r>
      </w:hyperlink>
      <w:r w:rsidRPr="00C524C1">
        <w:rPr>
          <w:rFonts w:cs="Arial"/>
          <w:color w:val="007FC3"/>
          <w:szCs w:val="20"/>
        </w:rPr>
        <w:t xml:space="preserve"> oder unter der Telefonnummer +49 7681 202-5747.</w:t>
      </w:r>
    </w:p>
    <w:sectPr w:rsidR="001D4523" w:rsidRPr="00C524C1" w:rsidSect="001D4523">
      <w:headerReference w:type="default" r:id="rId13"/>
      <w:footerReference w:type="default" r:id="rId14"/>
      <w:pgSz w:w="11906" w:h="16838" w:code="9"/>
      <w:pgMar w:top="2835" w:right="1134"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E3" w:rsidRDefault="001206E3" w:rsidP="00757A0D">
      <w:pPr>
        <w:spacing w:after="0" w:line="240" w:lineRule="auto"/>
      </w:pPr>
      <w:r>
        <w:separator/>
      </w:r>
    </w:p>
  </w:endnote>
  <w:endnote w:type="continuationSeparator" w:id="0">
    <w:p w:rsidR="001206E3" w:rsidRDefault="001206E3" w:rsidP="0075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23" w:rsidRPr="001D4523" w:rsidRDefault="001D4523" w:rsidP="001D4523">
    <w:pPr>
      <w:pStyle w:val="Fuzeile"/>
      <w:jc w:val="right"/>
      <w:rPr>
        <w:sz w:val="16"/>
        <w:szCs w:val="16"/>
      </w:rPr>
    </w:pPr>
    <w:r w:rsidRPr="001D4523">
      <w:rPr>
        <w:sz w:val="16"/>
        <w:szCs w:val="16"/>
      </w:rPr>
      <w:t>Seite</w:t>
    </w:r>
    <w:r w:rsidR="00654AB8">
      <w:rPr>
        <w:sz w:val="16"/>
        <w:szCs w:val="16"/>
      </w:rPr>
      <w:t xml:space="preserve"> </w:t>
    </w:r>
    <w:r w:rsidR="00654AB8">
      <w:rPr>
        <w:sz w:val="16"/>
        <w:szCs w:val="16"/>
      </w:rPr>
      <w:fldChar w:fldCharType="begin"/>
    </w:r>
    <w:r w:rsidR="00654AB8">
      <w:rPr>
        <w:sz w:val="16"/>
        <w:szCs w:val="16"/>
      </w:rPr>
      <w:instrText xml:space="preserve"> PAGE   \* MERGEFORMAT </w:instrText>
    </w:r>
    <w:r w:rsidR="00654AB8">
      <w:rPr>
        <w:sz w:val="16"/>
        <w:szCs w:val="16"/>
      </w:rPr>
      <w:fldChar w:fldCharType="separate"/>
    </w:r>
    <w:r w:rsidR="005D49C1">
      <w:rPr>
        <w:noProof/>
        <w:sz w:val="16"/>
        <w:szCs w:val="16"/>
      </w:rPr>
      <w:t>1</w:t>
    </w:r>
    <w:r w:rsidR="00654AB8">
      <w:rPr>
        <w:sz w:val="16"/>
        <w:szCs w:val="16"/>
      </w:rPr>
      <w:fldChar w:fldCharType="end"/>
    </w:r>
    <w:r w:rsidRPr="001D4523">
      <w:rPr>
        <w:sz w:val="16"/>
        <w:szCs w:val="16"/>
      </w:rPr>
      <w:t xml:space="preserve"> von </w:t>
    </w:r>
    <w:r w:rsidR="00654AB8">
      <w:rPr>
        <w:sz w:val="16"/>
        <w:szCs w:val="16"/>
      </w:rPr>
      <w:fldChar w:fldCharType="begin"/>
    </w:r>
    <w:r w:rsidR="00654AB8">
      <w:rPr>
        <w:sz w:val="16"/>
        <w:szCs w:val="16"/>
      </w:rPr>
      <w:instrText xml:space="preserve"> NUMPAGES   \* MERGEFORMAT </w:instrText>
    </w:r>
    <w:r w:rsidR="00654AB8">
      <w:rPr>
        <w:sz w:val="16"/>
        <w:szCs w:val="16"/>
      </w:rPr>
      <w:fldChar w:fldCharType="separate"/>
    </w:r>
    <w:r w:rsidR="005D49C1">
      <w:rPr>
        <w:noProof/>
        <w:sz w:val="16"/>
        <w:szCs w:val="16"/>
      </w:rPr>
      <w:t>2</w:t>
    </w:r>
    <w:r w:rsidR="00654AB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E3" w:rsidRDefault="001206E3" w:rsidP="00757A0D">
      <w:pPr>
        <w:spacing w:after="0" w:line="240" w:lineRule="auto"/>
      </w:pPr>
      <w:r>
        <w:separator/>
      </w:r>
    </w:p>
  </w:footnote>
  <w:footnote w:type="continuationSeparator" w:id="0">
    <w:p w:rsidR="001206E3" w:rsidRDefault="001206E3" w:rsidP="00757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0D" w:rsidRDefault="00417F79" w:rsidP="00757A0D">
    <w:pPr>
      <w:pStyle w:val="Kopfzeile"/>
      <w:jc w:val="right"/>
    </w:pPr>
    <w:r>
      <w:rPr>
        <w:noProof/>
      </w:rPr>
      <w:drawing>
        <wp:inline distT="0" distB="0" distL="0" distR="0">
          <wp:extent cx="1440000" cy="590400"/>
          <wp:effectExtent l="0" t="0" r="825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K_Logo_Claim.jpg"/>
                  <pic:cNvPicPr/>
                </pic:nvPicPr>
                <pic:blipFill>
                  <a:blip r:embed="rId1">
                    <a:extLst>
                      <a:ext uri="{28A0092B-C50C-407E-A947-70E740481C1C}">
                        <a14:useLocalDpi xmlns:a14="http://schemas.microsoft.com/office/drawing/2010/main" val="0"/>
                      </a:ext>
                    </a:extLst>
                  </a:blip>
                  <a:stretch>
                    <a:fillRect/>
                  </a:stretch>
                </pic:blipFill>
                <pic:spPr>
                  <a:xfrm>
                    <a:off x="0" y="0"/>
                    <a:ext cx="1440000" cy="59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964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85939AE"/>
    <w:multiLevelType w:val="hybridMultilevel"/>
    <w:tmpl w:val="4FB41BD0"/>
    <w:lvl w:ilvl="0" w:tplc="D088773A">
      <w:numFmt w:val="bullet"/>
      <w:lvlText w:val="-"/>
      <w:lvlJc w:val="left"/>
      <w:pPr>
        <w:ind w:left="450" w:hanging="360"/>
      </w:pPr>
      <w:rPr>
        <w:rFonts w:ascii="Arial" w:eastAsia="Times New Roman" w:hAnsi="Arial" w:cs="Aria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8B"/>
    <w:rsid w:val="000429B6"/>
    <w:rsid w:val="00044AC3"/>
    <w:rsid w:val="000B2341"/>
    <w:rsid w:val="000F248B"/>
    <w:rsid w:val="001206E3"/>
    <w:rsid w:val="001636D8"/>
    <w:rsid w:val="001D4523"/>
    <w:rsid w:val="00215860"/>
    <w:rsid w:val="002778D6"/>
    <w:rsid w:val="00417F79"/>
    <w:rsid w:val="004C19CB"/>
    <w:rsid w:val="00561492"/>
    <w:rsid w:val="005B4C04"/>
    <w:rsid w:val="005D49C1"/>
    <w:rsid w:val="00654AB8"/>
    <w:rsid w:val="00655F3F"/>
    <w:rsid w:val="00757A0D"/>
    <w:rsid w:val="007614B3"/>
    <w:rsid w:val="007B69C4"/>
    <w:rsid w:val="007F2C4A"/>
    <w:rsid w:val="008C7A9B"/>
    <w:rsid w:val="00941BF0"/>
    <w:rsid w:val="009C64FC"/>
    <w:rsid w:val="009F293E"/>
    <w:rsid w:val="00A26187"/>
    <w:rsid w:val="00A355DB"/>
    <w:rsid w:val="00A86CC9"/>
    <w:rsid w:val="00A912E9"/>
    <w:rsid w:val="00A92AE9"/>
    <w:rsid w:val="00B50F7F"/>
    <w:rsid w:val="00B657B7"/>
    <w:rsid w:val="00BC0C2F"/>
    <w:rsid w:val="00BC2C4C"/>
    <w:rsid w:val="00C3609E"/>
    <w:rsid w:val="00C524C1"/>
    <w:rsid w:val="00D76B4C"/>
    <w:rsid w:val="00D814CB"/>
    <w:rsid w:val="00E1642D"/>
    <w:rsid w:val="00ED0E11"/>
    <w:rsid w:val="00ED170D"/>
    <w:rsid w:val="00EF615A"/>
    <w:rsid w:val="00F149D2"/>
    <w:rsid w:val="00F92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19CB"/>
    <w:pPr>
      <w:spacing w:after="120" w:line="324" w:lineRule="auto"/>
    </w:pPr>
    <w:rPr>
      <w:rFonts w:ascii="Arial" w:hAnsi="Arial"/>
      <w:szCs w:val="22"/>
    </w:rPr>
  </w:style>
  <w:style w:type="paragraph" w:styleId="berschrift1">
    <w:name w:val="heading 1"/>
    <w:aliases w:val="Überschrift"/>
    <w:basedOn w:val="Standard"/>
    <w:next w:val="Standard"/>
    <w:link w:val="berschrift1Zchn"/>
    <w:uiPriority w:val="9"/>
    <w:qFormat/>
    <w:rsid w:val="000B2341"/>
    <w:pPr>
      <w:keepNext/>
      <w:keepLines/>
      <w:spacing w:after="0" w:line="336" w:lineRule="exact"/>
      <w:outlineLvl w:val="0"/>
    </w:pPr>
    <w:rPr>
      <w:b/>
      <w:bCs/>
      <w:sz w:val="28"/>
      <w:szCs w:val="28"/>
    </w:rPr>
  </w:style>
  <w:style w:type="paragraph" w:styleId="berschrift2">
    <w:name w:val="heading 2"/>
    <w:aliases w:val="Zwischenüberschrift"/>
    <w:basedOn w:val="Standard"/>
    <w:next w:val="Standard"/>
    <w:link w:val="berschrift2Zchn"/>
    <w:uiPriority w:val="9"/>
    <w:qFormat/>
    <w:rsid w:val="008C7A9B"/>
    <w:pPr>
      <w:keepNext/>
      <w:keepLines/>
      <w:outlineLvl w:val="1"/>
    </w:pPr>
    <w:rPr>
      <w:b/>
      <w:bCs/>
      <w:szCs w:val="26"/>
    </w:rPr>
  </w:style>
  <w:style w:type="paragraph" w:styleId="berschrift3">
    <w:name w:val="heading 3"/>
    <w:aliases w:val="Subline"/>
    <w:basedOn w:val="Standard"/>
    <w:next w:val="Standard"/>
    <w:link w:val="berschrift3Zchn"/>
    <w:uiPriority w:val="9"/>
    <w:unhideWhenUsed/>
    <w:qFormat/>
    <w:rsid w:val="000B2341"/>
    <w:pPr>
      <w:keepNext/>
      <w:spacing w:line="336" w:lineRule="exact"/>
      <w:outlineLvl w:val="2"/>
    </w:pPr>
    <w:rPr>
      <w:rFonts w:eastAsiaTheme="majorEastAsia" w:cstheme="majorBidi"/>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7A0D"/>
    <w:pPr>
      <w:tabs>
        <w:tab w:val="center" w:pos="4536"/>
        <w:tab w:val="right" w:pos="9072"/>
      </w:tabs>
    </w:pPr>
  </w:style>
  <w:style w:type="character" w:customStyle="1" w:styleId="KopfzeileZchn">
    <w:name w:val="Kopfzeile Zchn"/>
    <w:link w:val="Kopfzeile"/>
    <w:uiPriority w:val="99"/>
    <w:rsid w:val="00757A0D"/>
    <w:rPr>
      <w:sz w:val="22"/>
      <w:szCs w:val="22"/>
    </w:rPr>
  </w:style>
  <w:style w:type="paragraph" w:styleId="Fuzeile">
    <w:name w:val="footer"/>
    <w:basedOn w:val="Standard"/>
    <w:link w:val="FuzeileZchn"/>
    <w:uiPriority w:val="99"/>
    <w:unhideWhenUsed/>
    <w:rsid w:val="00757A0D"/>
    <w:pPr>
      <w:tabs>
        <w:tab w:val="center" w:pos="4536"/>
        <w:tab w:val="right" w:pos="9072"/>
      </w:tabs>
    </w:pPr>
  </w:style>
  <w:style w:type="character" w:customStyle="1" w:styleId="FuzeileZchn">
    <w:name w:val="Fußzeile Zchn"/>
    <w:link w:val="Fuzeile"/>
    <w:uiPriority w:val="99"/>
    <w:rsid w:val="00757A0D"/>
    <w:rPr>
      <w:sz w:val="22"/>
      <w:szCs w:val="22"/>
    </w:rPr>
  </w:style>
  <w:style w:type="character" w:styleId="Hyperlink">
    <w:name w:val="Hyperlink"/>
    <w:uiPriority w:val="99"/>
    <w:unhideWhenUsed/>
    <w:rsid w:val="00ED0E11"/>
    <w:rPr>
      <w:color w:val="0000FF"/>
      <w:u w:val="single"/>
    </w:rPr>
  </w:style>
  <w:style w:type="paragraph" w:styleId="Sprechblasentext">
    <w:name w:val="Balloon Text"/>
    <w:basedOn w:val="Standard"/>
    <w:link w:val="SprechblasentextZchn"/>
    <w:uiPriority w:val="99"/>
    <w:semiHidden/>
    <w:unhideWhenUsed/>
    <w:rsid w:val="00BC0C2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C0C2F"/>
    <w:rPr>
      <w:rFonts w:ascii="Tahoma" w:hAnsi="Tahoma" w:cs="Tahoma"/>
      <w:sz w:val="16"/>
      <w:szCs w:val="16"/>
    </w:rPr>
  </w:style>
  <w:style w:type="paragraph" w:styleId="Titel">
    <w:name w:val="Title"/>
    <w:basedOn w:val="Standard"/>
    <w:next w:val="Standard"/>
    <w:link w:val="TitelZchn"/>
    <w:uiPriority w:val="10"/>
    <w:qFormat/>
    <w:rsid w:val="008C7A9B"/>
    <w:pPr>
      <w:spacing w:after="0" w:line="240" w:lineRule="auto"/>
      <w:contextualSpacing/>
    </w:pPr>
    <w:rPr>
      <w:color w:val="007FC3"/>
      <w:spacing w:val="5"/>
      <w:kern w:val="28"/>
      <w:sz w:val="32"/>
      <w:szCs w:val="52"/>
    </w:rPr>
  </w:style>
  <w:style w:type="character" w:customStyle="1" w:styleId="TitelZchn">
    <w:name w:val="Titel Zchn"/>
    <w:link w:val="Titel"/>
    <w:uiPriority w:val="10"/>
    <w:rsid w:val="008C7A9B"/>
    <w:rPr>
      <w:rFonts w:ascii="Arial" w:eastAsia="Times New Roman" w:hAnsi="Arial" w:cs="Times New Roman"/>
      <w:color w:val="007FC3"/>
      <w:spacing w:val="5"/>
      <w:kern w:val="28"/>
      <w:sz w:val="32"/>
      <w:szCs w:val="52"/>
    </w:rPr>
  </w:style>
  <w:style w:type="character" w:customStyle="1" w:styleId="berschrift1Zchn">
    <w:name w:val="Überschrift 1 Zchn"/>
    <w:aliases w:val="Überschrift Zchn"/>
    <w:link w:val="berschrift1"/>
    <w:uiPriority w:val="9"/>
    <w:rsid w:val="000B2341"/>
    <w:rPr>
      <w:rFonts w:ascii="Arial" w:hAnsi="Arial"/>
      <w:b/>
      <w:bCs/>
      <w:sz w:val="28"/>
      <w:szCs w:val="28"/>
    </w:rPr>
  </w:style>
  <w:style w:type="character" w:customStyle="1" w:styleId="berschrift2Zchn">
    <w:name w:val="Überschrift 2 Zchn"/>
    <w:aliases w:val="Zwischenüberschrift Zchn"/>
    <w:link w:val="berschrift2"/>
    <w:uiPriority w:val="9"/>
    <w:rsid w:val="008C7A9B"/>
    <w:rPr>
      <w:rFonts w:ascii="Arial" w:eastAsia="Times New Roman" w:hAnsi="Arial" w:cs="Times New Roman"/>
      <w:b/>
      <w:bCs/>
      <w:szCs w:val="26"/>
    </w:rPr>
  </w:style>
  <w:style w:type="character" w:customStyle="1" w:styleId="berschrift3Zchn">
    <w:name w:val="Überschrift 3 Zchn"/>
    <w:aliases w:val="Subline Zchn"/>
    <w:basedOn w:val="Absatz-Standardschriftart"/>
    <w:link w:val="berschrift3"/>
    <w:uiPriority w:val="9"/>
    <w:rsid w:val="000B2341"/>
    <w:rPr>
      <w:rFonts w:ascii="Arial" w:eastAsiaTheme="majorEastAsia" w:hAnsi="Arial" w:cstheme="majorBidi"/>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19CB"/>
    <w:pPr>
      <w:spacing w:after="120" w:line="324" w:lineRule="auto"/>
    </w:pPr>
    <w:rPr>
      <w:rFonts w:ascii="Arial" w:hAnsi="Arial"/>
      <w:szCs w:val="22"/>
    </w:rPr>
  </w:style>
  <w:style w:type="paragraph" w:styleId="berschrift1">
    <w:name w:val="heading 1"/>
    <w:aliases w:val="Überschrift"/>
    <w:basedOn w:val="Standard"/>
    <w:next w:val="Standard"/>
    <w:link w:val="berschrift1Zchn"/>
    <w:uiPriority w:val="9"/>
    <w:qFormat/>
    <w:rsid w:val="000B2341"/>
    <w:pPr>
      <w:keepNext/>
      <w:keepLines/>
      <w:spacing w:after="0" w:line="336" w:lineRule="exact"/>
      <w:outlineLvl w:val="0"/>
    </w:pPr>
    <w:rPr>
      <w:b/>
      <w:bCs/>
      <w:sz w:val="28"/>
      <w:szCs w:val="28"/>
    </w:rPr>
  </w:style>
  <w:style w:type="paragraph" w:styleId="berschrift2">
    <w:name w:val="heading 2"/>
    <w:aliases w:val="Zwischenüberschrift"/>
    <w:basedOn w:val="Standard"/>
    <w:next w:val="Standard"/>
    <w:link w:val="berschrift2Zchn"/>
    <w:uiPriority w:val="9"/>
    <w:qFormat/>
    <w:rsid w:val="008C7A9B"/>
    <w:pPr>
      <w:keepNext/>
      <w:keepLines/>
      <w:outlineLvl w:val="1"/>
    </w:pPr>
    <w:rPr>
      <w:b/>
      <w:bCs/>
      <w:szCs w:val="26"/>
    </w:rPr>
  </w:style>
  <w:style w:type="paragraph" w:styleId="berschrift3">
    <w:name w:val="heading 3"/>
    <w:aliases w:val="Subline"/>
    <w:basedOn w:val="Standard"/>
    <w:next w:val="Standard"/>
    <w:link w:val="berschrift3Zchn"/>
    <w:uiPriority w:val="9"/>
    <w:unhideWhenUsed/>
    <w:qFormat/>
    <w:rsid w:val="000B2341"/>
    <w:pPr>
      <w:keepNext/>
      <w:spacing w:line="336" w:lineRule="exact"/>
      <w:outlineLvl w:val="2"/>
    </w:pPr>
    <w:rPr>
      <w:rFonts w:eastAsiaTheme="majorEastAsia" w:cstheme="majorBidi"/>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7A0D"/>
    <w:pPr>
      <w:tabs>
        <w:tab w:val="center" w:pos="4536"/>
        <w:tab w:val="right" w:pos="9072"/>
      </w:tabs>
    </w:pPr>
  </w:style>
  <w:style w:type="character" w:customStyle="1" w:styleId="KopfzeileZchn">
    <w:name w:val="Kopfzeile Zchn"/>
    <w:link w:val="Kopfzeile"/>
    <w:uiPriority w:val="99"/>
    <w:rsid w:val="00757A0D"/>
    <w:rPr>
      <w:sz w:val="22"/>
      <w:szCs w:val="22"/>
    </w:rPr>
  </w:style>
  <w:style w:type="paragraph" w:styleId="Fuzeile">
    <w:name w:val="footer"/>
    <w:basedOn w:val="Standard"/>
    <w:link w:val="FuzeileZchn"/>
    <w:uiPriority w:val="99"/>
    <w:unhideWhenUsed/>
    <w:rsid w:val="00757A0D"/>
    <w:pPr>
      <w:tabs>
        <w:tab w:val="center" w:pos="4536"/>
        <w:tab w:val="right" w:pos="9072"/>
      </w:tabs>
    </w:pPr>
  </w:style>
  <w:style w:type="character" w:customStyle="1" w:styleId="FuzeileZchn">
    <w:name w:val="Fußzeile Zchn"/>
    <w:link w:val="Fuzeile"/>
    <w:uiPriority w:val="99"/>
    <w:rsid w:val="00757A0D"/>
    <w:rPr>
      <w:sz w:val="22"/>
      <w:szCs w:val="22"/>
    </w:rPr>
  </w:style>
  <w:style w:type="character" w:styleId="Hyperlink">
    <w:name w:val="Hyperlink"/>
    <w:uiPriority w:val="99"/>
    <w:unhideWhenUsed/>
    <w:rsid w:val="00ED0E11"/>
    <w:rPr>
      <w:color w:val="0000FF"/>
      <w:u w:val="single"/>
    </w:rPr>
  </w:style>
  <w:style w:type="paragraph" w:styleId="Sprechblasentext">
    <w:name w:val="Balloon Text"/>
    <w:basedOn w:val="Standard"/>
    <w:link w:val="SprechblasentextZchn"/>
    <w:uiPriority w:val="99"/>
    <w:semiHidden/>
    <w:unhideWhenUsed/>
    <w:rsid w:val="00BC0C2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C0C2F"/>
    <w:rPr>
      <w:rFonts w:ascii="Tahoma" w:hAnsi="Tahoma" w:cs="Tahoma"/>
      <w:sz w:val="16"/>
      <w:szCs w:val="16"/>
    </w:rPr>
  </w:style>
  <w:style w:type="paragraph" w:styleId="Titel">
    <w:name w:val="Title"/>
    <w:basedOn w:val="Standard"/>
    <w:next w:val="Standard"/>
    <w:link w:val="TitelZchn"/>
    <w:uiPriority w:val="10"/>
    <w:qFormat/>
    <w:rsid w:val="008C7A9B"/>
    <w:pPr>
      <w:spacing w:after="0" w:line="240" w:lineRule="auto"/>
      <w:contextualSpacing/>
    </w:pPr>
    <w:rPr>
      <w:color w:val="007FC3"/>
      <w:spacing w:val="5"/>
      <w:kern w:val="28"/>
      <w:sz w:val="32"/>
      <w:szCs w:val="52"/>
    </w:rPr>
  </w:style>
  <w:style w:type="character" w:customStyle="1" w:styleId="TitelZchn">
    <w:name w:val="Titel Zchn"/>
    <w:link w:val="Titel"/>
    <w:uiPriority w:val="10"/>
    <w:rsid w:val="008C7A9B"/>
    <w:rPr>
      <w:rFonts w:ascii="Arial" w:eastAsia="Times New Roman" w:hAnsi="Arial" w:cs="Times New Roman"/>
      <w:color w:val="007FC3"/>
      <w:spacing w:val="5"/>
      <w:kern w:val="28"/>
      <w:sz w:val="32"/>
      <w:szCs w:val="52"/>
    </w:rPr>
  </w:style>
  <w:style w:type="character" w:customStyle="1" w:styleId="berschrift1Zchn">
    <w:name w:val="Überschrift 1 Zchn"/>
    <w:aliases w:val="Überschrift Zchn"/>
    <w:link w:val="berschrift1"/>
    <w:uiPriority w:val="9"/>
    <w:rsid w:val="000B2341"/>
    <w:rPr>
      <w:rFonts w:ascii="Arial" w:hAnsi="Arial"/>
      <w:b/>
      <w:bCs/>
      <w:sz w:val="28"/>
      <w:szCs w:val="28"/>
    </w:rPr>
  </w:style>
  <w:style w:type="character" w:customStyle="1" w:styleId="berschrift2Zchn">
    <w:name w:val="Überschrift 2 Zchn"/>
    <w:aliases w:val="Zwischenüberschrift Zchn"/>
    <w:link w:val="berschrift2"/>
    <w:uiPriority w:val="9"/>
    <w:rsid w:val="008C7A9B"/>
    <w:rPr>
      <w:rFonts w:ascii="Arial" w:eastAsia="Times New Roman" w:hAnsi="Arial" w:cs="Times New Roman"/>
      <w:b/>
      <w:bCs/>
      <w:szCs w:val="26"/>
    </w:rPr>
  </w:style>
  <w:style w:type="character" w:customStyle="1" w:styleId="berschrift3Zchn">
    <w:name w:val="Überschrift 3 Zchn"/>
    <w:aliases w:val="Subline Zchn"/>
    <w:basedOn w:val="Absatz-Standardschriftart"/>
    <w:link w:val="berschrift3"/>
    <w:uiPriority w:val="9"/>
    <w:rsid w:val="000B2341"/>
    <w:rPr>
      <w:rFonts w:ascii="Arial" w:eastAsiaTheme="majorEastAsia" w:hAnsi="Arial" w:cstheme="majorBidi"/>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ic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zenre\AppData\Local\Temp\notesAF3A78\Test_Template_Presseinformat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0d46d53179b8a135772f0fead15042f2">
  <xsd:schema xmlns:xsd="http://www.w3.org/2001/XMLSchema" xmlns:p="http://schemas.microsoft.com/office/2006/metadata/properties" xmlns:ns1="http://schemas.microsoft.com/sharepoint/v3" targetNamespace="http://schemas.microsoft.com/office/2006/metadata/properties" ma:root="true" ma:fieldsID="3514f18747d501714765231647a7283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8A30-247F-4404-9E6F-9C82C85CF29B}">
  <ds:schemaRefs>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sharepoint/v3"/>
  </ds:schemaRefs>
</ds:datastoreItem>
</file>

<file path=customXml/itemProps2.xml><?xml version="1.0" encoding="utf-8"?>
<ds:datastoreItem xmlns:ds="http://schemas.openxmlformats.org/officeDocument/2006/customXml" ds:itemID="{784CB299-C54F-4487-BD71-E68F4FB2A266}">
  <ds:schemaRefs>
    <ds:schemaRef ds:uri="http://schemas.microsoft.com/sharepoint/v3/contenttype/forms"/>
  </ds:schemaRefs>
</ds:datastoreItem>
</file>

<file path=customXml/itemProps3.xml><?xml version="1.0" encoding="utf-8"?>
<ds:datastoreItem xmlns:ds="http://schemas.openxmlformats.org/officeDocument/2006/customXml" ds:itemID="{A6775F54-C546-472B-B41A-500A4912B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56321B9-75CD-4FF1-8223-6DA727C4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Test_Template_Presseinformation.dotx</Template>
  <TotalTime>0</TotalTime>
  <Pages>2</Pages>
  <Words>592</Words>
  <Characters>3736</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SICK</Company>
  <LinksUpToDate>false</LinksUpToDate>
  <CharactersWithSpaces>4320</CharactersWithSpaces>
  <SharedDoc>false</SharedDoc>
  <HLinks>
    <vt:vector size="6" baseType="variant">
      <vt:variant>
        <vt:i4>7995484</vt:i4>
      </vt:variant>
      <vt:variant>
        <vt:i4>0</vt:i4>
      </vt:variant>
      <vt:variant>
        <vt:i4>0</vt:i4>
      </vt:variant>
      <vt:variant>
        <vt:i4>5</vt:i4>
      </vt:variant>
      <vt:variant>
        <vt:lpwstr>http://www.sick.com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Elzenbeck</dc:creator>
  <cp:lastModifiedBy>Evelyn Goetz</cp:lastModifiedBy>
  <cp:revision>2</cp:revision>
  <cp:lastPrinted>2014-04-08T08:34:00Z</cp:lastPrinted>
  <dcterms:created xsi:type="dcterms:W3CDTF">2014-10-22T08:38:00Z</dcterms:created>
  <dcterms:modified xsi:type="dcterms:W3CDTF">2014-10-22T08:38:00Z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